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2427" w14:textId="2262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(Обычные операции) (Инвестиционная Программа для Транспортного коридора ЦАРЭС 2 (участки Мангистауской области) – Проект 1)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28 июля 2011 года № 872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(Обычные операции) (Инвестиционная Программа для Транспортного коридора ЦАРЭС 2 (участки Мангистауской области) – Проект 1) между Республикой Казахстан и Азиатским Банком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о займе (Обычные операции) (Инвестиционная Программа для Транспортного коридора ЦАРЭС 2 (участки Мангистауской области) – Проект 1) между Республикой Казахстан и Азиатским Банком Развития</w:t>
      </w:r>
    </w:p>
    <w:p>
      <w:pPr>
        <w:spacing w:after="0"/>
        <w:ind w:left="0"/>
        <w:jc w:val="both"/>
      </w:pPr>
      <w:r>
        <w:rPr>
          <w:rFonts w:ascii="Times New Roman"/>
          <w:b w:val="false"/>
          <w:i w:val="false"/>
          <w:color w:val="000000"/>
          <w:sz w:val="28"/>
        </w:rPr>
        <w:t xml:space="preserve">      В соответствии со статьей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Соглашения о займе (Обычные операции) (Инвестиционная Программа для Транспортного коридора ЦАРЭС 2 (участки Мангистауской области) – Проект 1) между Республикой Казахстан и Азиатским Банком Развития.</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(Обычные операции) (Инвестиционная Программа для Транспортного коридора ЦАРЭС 2 (участки Мангистауской области) – Проект 1) между Республикой Казахстан и Азиатским Банком Развития.</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 _______ 2011 года №__</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r>
        <w:br/>
      </w:r>
      <w:r>
        <w:rPr>
          <w:rFonts w:ascii="Times New Roman"/>
          <w:b/>
          <w:i w:val="false"/>
          <w:color w:val="000000"/>
        </w:rPr>
        <w:t>
(Инвестиционная Программа для Транспортного коридора ЦАРЭС 2</w:t>
      </w:r>
      <w:r>
        <w:br/>
      </w:r>
      <w:r>
        <w:rPr>
          <w:rFonts w:ascii="Times New Roman"/>
          <w:b/>
          <w:i w:val="false"/>
          <w:color w:val="000000"/>
        </w:rPr>
        <w:t>
(участки Мангистауской области) – Проект 1) между Республикой</w:t>
      </w:r>
      <w:r>
        <w:br/>
      </w:r>
      <w:r>
        <w:rPr>
          <w:rFonts w:ascii="Times New Roman"/>
          <w:b/>
          <w:i w:val="false"/>
          <w:color w:val="000000"/>
        </w:rPr>
        <w:t>
Казахстан и Азиатским Банком Развития</w:t>
      </w:r>
    </w:p>
    <w:p>
      <w:pPr>
        <w:spacing w:after="0"/>
        <w:ind w:left="0"/>
        <w:jc w:val="both"/>
      </w:pPr>
      <w:r>
        <w:rPr>
          <w:rFonts w:ascii="Times New Roman"/>
          <w:b w:val="false"/>
          <w:i w:val="false"/>
          <w:color w:val="000000"/>
          <w:sz w:val="28"/>
        </w:rPr>
        <w:t>      СОГЛАШЕНИЕ О ЗАЙМЕ от между РЕСПУБЛИКОЙ КАЗАХСТАН (именуемой в дальнейшем Заемщик) и АЗИАТСКИМ БАНКОМ РАЗВИТИЯ (именуемый в дальнейшем АБР).</w:t>
      </w:r>
    </w:p>
    <w:p>
      <w:pPr>
        <w:spacing w:after="0"/>
        <w:ind w:left="0"/>
        <w:jc w:val="both"/>
      </w:pPr>
      <w:r>
        <w:rPr>
          <w:rFonts w:ascii="Times New Roman"/>
          <w:b w:val="false"/>
          <w:i w:val="false"/>
          <w:color w:val="000000"/>
          <w:sz w:val="28"/>
        </w:rPr>
        <w:t>ПРИНИМАЯ ВО ВНИМАНИЕ НИЖЕСЛЕДУЮЩЕЕ</w:t>
      </w:r>
    </w:p>
    <w:p>
      <w:pPr>
        <w:spacing w:after="0"/>
        <w:ind w:left="0"/>
        <w:jc w:val="both"/>
      </w:pPr>
      <w:r>
        <w:rPr>
          <w:rFonts w:ascii="Times New Roman"/>
          <w:b w:val="false"/>
          <w:i w:val="false"/>
          <w:color w:val="000000"/>
          <w:sz w:val="28"/>
        </w:rPr>
        <w:t>      (А). согласно рамочному соглашению о финансировании от 2011 года, заключенному между Заемщиком и АБР («РСФ»), АБР согласился предоставить многотраншевый механизм финансирования Заемщику с целью финансирования проектов в рамках Инвестиционной программы («Инвестиционная Программа») Транспортного коридора ЦАРЭС 2 (участки Мангистауской области);</w:t>
      </w:r>
      <w:r>
        <w:br/>
      </w:r>
      <w:r>
        <w:rPr>
          <w:rFonts w:ascii="Times New Roman"/>
          <w:b w:val="false"/>
          <w:i w:val="false"/>
          <w:color w:val="000000"/>
          <w:sz w:val="28"/>
        </w:rPr>
        <w:t>
      (В). посредством периодического запроса о финансировании от 2010 года, предоставленного Заемщиком, Заемщик обратился в АБР о выделении займа для целей Проекта, описанного в Приложении 1 настоящего Соглашению о Займе; а также</w:t>
      </w:r>
      <w:r>
        <w:br/>
      </w:r>
      <w:r>
        <w:rPr>
          <w:rFonts w:ascii="Times New Roman"/>
          <w:b w:val="false"/>
          <w:i w:val="false"/>
          <w:color w:val="000000"/>
          <w:sz w:val="28"/>
        </w:rPr>
        <w:t>
      (C) АБР выразил согласие на предоставление Заемщику займа из обычных капитальных ресурсов АБР на установленных ниже сроках и условиях.</w:t>
      </w:r>
      <w:r>
        <w:br/>
      </w:r>
      <w:r>
        <w:rPr>
          <w:rFonts w:ascii="Times New Roman"/>
          <w:b w:val="false"/>
          <w:i w:val="false"/>
          <w:color w:val="000000"/>
          <w:sz w:val="28"/>
        </w:rPr>
        <w:t>
      С УЧЕТОМ ВЫШЕИЗЛОЖЕННОГО стороны договорились о следующем:</w:t>
      </w:r>
    </w:p>
    <w:p>
      <w:pPr>
        <w:spacing w:after="0"/>
        <w:ind w:left="0"/>
        <w:jc w:val="left"/>
      </w:pPr>
      <w:r>
        <w:rPr>
          <w:rFonts w:ascii="Times New Roman"/>
          <w:b/>
          <w:i w:val="false"/>
          <w:color w:val="000000"/>
        </w:rPr>
        <w:t xml:space="preserve"> СТАТЬЯ I</w:t>
      </w:r>
      <w:r>
        <w:br/>
      </w:r>
      <w:r>
        <w:rPr>
          <w:rFonts w:ascii="Times New Roman"/>
          <w:b/>
          <w:i w:val="false"/>
          <w:color w:val="000000"/>
        </w:rPr>
        <w:t>
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выделяющиеся из Обычных основных ресурсов АБР от 1 июля 2001 года, настоящим считаются применимыми к настоящему Соглашению о Займе и действующими в полном объеме, как если бы они были изложены в тексте настоящего Соглашения, однако с соблюдением нижеследующих изменений:</w:t>
      </w:r>
      <w:r>
        <w:br/>
      </w:r>
      <w:r>
        <w:rPr>
          <w:rFonts w:ascii="Times New Roman"/>
          <w:b w:val="false"/>
          <w:i w:val="false"/>
          <w:color w:val="000000"/>
          <w:sz w:val="28"/>
        </w:rPr>
        <w:t>
      (а) Статья 3.03 удален и заменен нижеследующим:</w:t>
      </w:r>
      <w:r>
        <w:br/>
      </w:r>
      <w:r>
        <w:rPr>
          <w:rFonts w:ascii="Times New Roman"/>
          <w:b w:val="false"/>
          <w:i w:val="false"/>
          <w:color w:val="000000"/>
          <w:sz w:val="28"/>
        </w:rPr>
        <w:t>
</w:t>
      </w:r>
      <w:r>
        <w:rPr>
          <w:rFonts w:ascii="Times New Roman"/>
          <w:b/>
          <w:i w:val="false"/>
          <w:color w:val="000000"/>
          <w:sz w:val="28"/>
        </w:rPr>
        <w:t>      Комиссия за резервирование; Кредит.</w:t>
      </w:r>
      <w:r>
        <w:br/>
      </w:r>
      <w:r>
        <w:rPr>
          <w:rFonts w:ascii="Times New Roman"/>
          <w:b w:val="false"/>
          <w:i w:val="false"/>
          <w:color w:val="000000"/>
          <w:sz w:val="28"/>
        </w:rPr>
        <w:t>
      (a) Заемщик обязуется выплачивать комиссию за резервирование по невостребованной сумме кредита по ставкам и условиям, предусмотренным настоящим Договором займа.</w:t>
      </w:r>
      <w:r>
        <w:br/>
      </w:r>
      <w:r>
        <w:rPr>
          <w:rFonts w:ascii="Times New Roman"/>
          <w:b w:val="false"/>
          <w:i w:val="false"/>
          <w:color w:val="000000"/>
          <w:sz w:val="28"/>
        </w:rPr>
        <w:t>
      (b) АБР обязуется предоставить Заемщику кредит по ставкам, обусловленным настоящим Соглашением о Займе, которое не подлежит изменениям до конца срока займа. АБР обязуется применить сумму данного кредита по отношению к процентам, подлежащим к оплате Заемщиком,</w:t>
      </w:r>
      <w:r>
        <w:br/>
      </w:r>
      <w:r>
        <w:rPr>
          <w:rFonts w:ascii="Times New Roman"/>
          <w:b w:val="false"/>
          <w:i w:val="false"/>
          <w:color w:val="000000"/>
          <w:sz w:val="28"/>
        </w:rPr>
        <w:t>
      (b) Раздел 3.06 удален и заменен нижеследующим:</w:t>
      </w:r>
      <w:r>
        <w:br/>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маржи стоимости финансирования в отношении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вычесть сумму возмещения к процентам, подлежащим к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(c) Раздел 3.07 удален и заменен нижеследующим:</w:t>
      </w:r>
      <w:r>
        <w:br/>
      </w: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Данная сумма будет определена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даты вступления в силу повышенного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валюты займа (или утвержденной валюты) в любом полугодии привели к дополнительным затратам, Заемщик обязуется выплатить АБР дополнительную сумму. Данная сумма будет определена путем умножения (i) маржи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сумму дополнительной оплаты к процентам, подлежащим к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а также несколько дополнительных терминов имеют нижеследующие определения:</w:t>
      </w:r>
      <w:r>
        <w:br/>
      </w:r>
      <w:r>
        <w:rPr>
          <w:rFonts w:ascii="Times New Roman"/>
          <w:b w:val="false"/>
          <w:i w:val="false"/>
          <w:color w:val="000000"/>
          <w:sz w:val="28"/>
        </w:rPr>
        <w:t>
      (а) "ЦАРЭС” – означает Центрально-азиатское региональное экономическое сотрудничество;</w:t>
      </w:r>
      <w:r>
        <w:br/>
      </w:r>
      <w:r>
        <w:rPr>
          <w:rFonts w:ascii="Times New Roman"/>
          <w:b w:val="false"/>
          <w:i w:val="false"/>
          <w:color w:val="000000"/>
          <w:sz w:val="28"/>
        </w:rPr>
        <w:t>
      (b) "Коридор ЦАРЭС 2” - означает транспортный коридор от Стамбула в Турцию через порт Баку в Азербайджане и Актау в Мангистауской области и территории Узбекистана, Таджикистана, Киргизской Республики до портов Льяньюнянг Тианджин и Шанхай в Китайской Народной Республике;</w:t>
      </w:r>
      <w:r>
        <w:br/>
      </w:r>
      <w:r>
        <w:rPr>
          <w:rFonts w:ascii="Times New Roman"/>
          <w:b w:val="false"/>
          <w:i w:val="false"/>
          <w:color w:val="000000"/>
          <w:sz w:val="28"/>
        </w:rPr>
        <w:t>
      (c) "Руководство по привлечению консультационных услуг” - Руководство АБР по привлечению услуг консультантов Азиатским Банком Развития и его Заемщиками (от 2010 года, с периодическими поправками);</w:t>
      </w:r>
      <w:r>
        <w:br/>
      </w:r>
      <w:r>
        <w:rPr>
          <w:rFonts w:ascii="Times New Roman"/>
          <w:b w:val="false"/>
          <w:i w:val="false"/>
          <w:color w:val="000000"/>
          <w:sz w:val="28"/>
        </w:rPr>
        <w:t>
      (d) "Консультационные услуги” означает услуги, которые будут финансироваться из средств Займа изложенных в подпунктах 2(b) по 2(d) Приложении 1 настоящего Соглашения о Займе;</w:t>
      </w:r>
      <w:r>
        <w:br/>
      </w:r>
      <w:r>
        <w:rPr>
          <w:rFonts w:ascii="Times New Roman"/>
          <w:b w:val="false"/>
          <w:i w:val="false"/>
          <w:color w:val="000000"/>
          <w:sz w:val="28"/>
        </w:rPr>
        <w:t>
      (e) "КЭОО" означает концепцию экологической оценки обзора, подготовленную для инвестиционной программы Заемщиком и согласованную с АБР, и включенную посредством ссылки в РСФ;</w:t>
      </w:r>
      <w:r>
        <w:br/>
      </w:r>
      <w:r>
        <w:rPr>
          <w:rFonts w:ascii="Times New Roman"/>
          <w:b w:val="false"/>
          <w:i w:val="false"/>
          <w:color w:val="000000"/>
          <w:sz w:val="28"/>
        </w:rPr>
        <w:t>
      (f) "ПООС" означает План охраны окружающей среды, подготовленный Заемщиком для Проекта и согласованный с АБР;</w:t>
      </w:r>
      <w:r>
        <w:br/>
      </w:r>
      <w:r>
        <w:rPr>
          <w:rFonts w:ascii="Times New Roman"/>
          <w:b w:val="false"/>
          <w:i w:val="false"/>
          <w:color w:val="000000"/>
          <w:sz w:val="28"/>
        </w:rPr>
        <w:t>
      (g) "Механизм" означает многотраншевый механизм финансирования, предоставленный АБР Заемщику для целей финансирования проектов в рамках Инвестиционной Программы;</w:t>
      </w:r>
      <w:r>
        <w:br/>
      </w:r>
      <w:r>
        <w:rPr>
          <w:rFonts w:ascii="Times New Roman"/>
          <w:b w:val="false"/>
          <w:i w:val="false"/>
          <w:color w:val="000000"/>
          <w:sz w:val="28"/>
        </w:rPr>
        <w:t>
      (h) "РАМ" означает Руководство по администрации механизма для Инвестиционной Программы от 2 сентября 2010 г. и согласованное между Заемщиком и АБР, корректируемое время от времени согласно соответствующих процедур Заемщика и АБР;</w:t>
      </w:r>
      <w:r>
        <w:br/>
      </w:r>
      <w:r>
        <w:rPr>
          <w:rFonts w:ascii="Times New Roman"/>
          <w:b w:val="false"/>
          <w:i w:val="false"/>
          <w:color w:val="000000"/>
          <w:sz w:val="28"/>
        </w:rPr>
        <w:t>
      (i) "ГПД" означает гендерный план действий, изложенный в пункте 7 Приложения 5 настоящего Соглашения о Займе;</w:t>
      </w:r>
      <w:r>
        <w:br/>
      </w:r>
      <w:r>
        <w:rPr>
          <w:rFonts w:ascii="Times New Roman"/>
          <w:b w:val="false"/>
          <w:i w:val="false"/>
          <w:color w:val="000000"/>
          <w:sz w:val="28"/>
        </w:rPr>
        <w:t>
      (j) "ПЭО" означает предварительную экологическую оценку, подготовленную Заемщиком для Проекта и согласованную с АБР;</w:t>
      </w:r>
      <w:r>
        <w:br/>
      </w:r>
      <w:r>
        <w:rPr>
          <w:rFonts w:ascii="Times New Roman"/>
          <w:b w:val="false"/>
          <w:i w:val="false"/>
          <w:color w:val="000000"/>
          <w:sz w:val="28"/>
        </w:rPr>
        <w:t>
      (k) "Км" означает место с указанием определенного километража на проектной дороге, и "км" означает километр;</w:t>
      </w:r>
      <w:r>
        <w:br/>
      </w:r>
      <w:r>
        <w:rPr>
          <w:rFonts w:ascii="Times New Roman"/>
          <w:b w:val="false"/>
          <w:i w:val="false"/>
          <w:color w:val="000000"/>
          <w:sz w:val="28"/>
        </w:rPr>
        <w:t>
      (l) "ОВЗП" означает Основы выкупа земель и переселения подготовленные Заемщиком для Инвестиционной программы и согласованная с АБР, включенные посредством ссылки в РСФ;</w:t>
      </w:r>
      <w:r>
        <w:br/>
      </w:r>
      <w:r>
        <w:rPr>
          <w:rFonts w:ascii="Times New Roman"/>
          <w:b w:val="false"/>
          <w:i w:val="false"/>
          <w:color w:val="000000"/>
          <w:sz w:val="28"/>
        </w:rPr>
        <w:t>
      (m) "ПВЗП" означает План выкупа земель и переселения в рамках Проекта, подготовленный Заемщиком для Проекта и согласованный с АБР;</w:t>
      </w:r>
      <w:r>
        <w:br/>
      </w:r>
      <w:r>
        <w:rPr>
          <w:rFonts w:ascii="Times New Roman"/>
          <w:b w:val="false"/>
          <w:i w:val="false"/>
          <w:color w:val="000000"/>
          <w:sz w:val="28"/>
        </w:rPr>
        <w:t>
      (n) "Руководство по выплатам займа" - Руководство АБР по выплате займа (от 2007 года с периодическими поправками);</w:t>
      </w:r>
      <w:r>
        <w:br/>
      </w:r>
      <w:r>
        <w:rPr>
          <w:rFonts w:ascii="Times New Roman"/>
          <w:b w:val="false"/>
          <w:i w:val="false"/>
          <w:color w:val="000000"/>
          <w:sz w:val="28"/>
        </w:rPr>
        <w:t>
      (o) "МТК" означает Министерство транспорта и коммуникаций или любой его правопреемник;</w:t>
      </w:r>
      <w:r>
        <w:br/>
      </w:r>
      <w:r>
        <w:rPr>
          <w:rFonts w:ascii="Times New Roman"/>
          <w:b w:val="false"/>
          <w:i w:val="false"/>
          <w:color w:val="000000"/>
          <w:sz w:val="28"/>
        </w:rPr>
        <w:t>
      (p) "Область" означает административную единицу Заемщика;</w:t>
      </w:r>
      <w:r>
        <w:br/>
      </w:r>
      <w:r>
        <w:rPr>
          <w:rFonts w:ascii="Times New Roman"/>
          <w:b w:val="false"/>
          <w:i w:val="false"/>
          <w:color w:val="000000"/>
          <w:sz w:val="28"/>
        </w:rPr>
        <w:t>
      (q) "ПЗФ" означает периодический запрос на финансирование, представленный или представляемый Заемщиком с целью получения Займа в рамках механизма и для целей настоящего Соглашения о Займе означает периодический запрос на финансирование № 1 от ____________;</w:t>
      </w:r>
      <w:r>
        <w:br/>
      </w:r>
      <w:r>
        <w:rPr>
          <w:rFonts w:ascii="Times New Roman"/>
          <w:b w:val="false"/>
          <w:i w:val="false"/>
          <w:color w:val="000000"/>
          <w:sz w:val="28"/>
        </w:rPr>
        <w:t>
      (r) "Руководство по закупкам" означает Руководство по закупкам  АБР (от 2010 года, с периодическими поправками);</w:t>
      </w:r>
      <w:r>
        <w:br/>
      </w:r>
      <w:r>
        <w:rPr>
          <w:rFonts w:ascii="Times New Roman"/>
          <w:b w:val="false"/>
          <w:i w:val="false"/>
          <w:color w:val="000000"/>
          <w:sz w:val="28"/>
        </w:rPr>
        <w:t>
      (s) "План закупок" означает план закупок для Проекта от 2 сентября 2010 г., согласованный между Заемщиком и АБР, с периодическими обновлениями в соответствии в Руководством по закупкам, Руководством по привлечению консалтинговых услуг и прочими мероприятиями, согласованными с АБР;</w:t>
      </w:r>
      <w:r>
        <w:br/>
      </w:r>
      <w:r>
        <w:rPr>
          <w:rFonts w:ascii="Times New Roman"/>
          <w:b w:val="false"/>
          <w:i w:val="false"/>
          <w:color w:val="000000"/>
          <w:sz w:val="28"/>
        </w:rPr>
        <w:t>
      (t) "Исполнительное Агентство по Проекту" для целей и в рамках Правил предоставления займа означает МТК, ответственного за исполнение Проекта;</w:t>
      </w:r>
      <w:r>
        <w:br/>
      </w:r>
      <w:r>
        <w:rPr>
          <w:rFonts w:ascii="Times New Roman"/>
          <w:b w:val="false"/>
          <w:i w:val="false"/>
          <w:color w:val="000000"/>
          <w:sz w:val="28"/>
        </w:rPr>
        <w:t>
      (u) "Проектные объекты" означают объекты, которые будут построены либо предоставлены в рамках Проекта;</w:t>
      </w:r>
      <w:r>
        <w:br/>
      </w:r>
      <w:r>
        <w:rPr>
          <w:rFonts w:ascii="Times New Roman"/>
          <w:b w:val="false"/>
          <w:i w:val="false"/>
          <w:color w:val="000000"/>
          <w:sz w:val="28"/>
        </w:rPr>
        <w:t>
      (v) "Проектная дорога" означает участки дорог, более детально описанные в Приложении 1 настоящего Соглашения о займе; а также</w:t>
      </w:r>
      <w:r>
        <w:br/>
      </w:r>
      <w:r>
        <w:rPr>
          <w:rFonts w:ascii="Times New Roman"/>
          <w:b w:val="false"/>
          <w:i w:val="false"/>
          <w:color w:val="000000"/>
          <w:sz w:val="28"/>
        </w:rPr>
        <w:t>
      (w) "Работы" означают строительство или 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p>
      <w:pPr>
        <w:spacing w:after="0"/>
        <w:ind w:left="0"/>
        <w:jc w:val="left"/>
      </w:pPr>
      <w:r>
        <w:rPr>
          <w:rFonts w:ascii="Times New Roman"/>
          <w:b/>
          <w:i w:val="false"/>
          <w:color w:val="000000"/>
        </w:rPr>
        <w:t xml:space="preserve"> СТАТЬЯ II</w:t>
      </w:r>
      <w:r>
        <w:br/>
      </w:r>
      <w:r>
        <w:rPr>
          <w:rFonts w:ascii="Times New Roman"/>
          <w:b/>
          <w:i w:val="false"/>
          <w:color w:val="000000"/>
        </w:rPr>
        <w:t>
Заем</w:t>
      </w:r>
    </w:p>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в сумме двести восемьдесят три миллиона долларов США ($283 000 000),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двадцать (20) лет, и льготный период согласно пункту (c) данного Раздела.</w:t>
      </w:r>
      <w:r>
        <w:br/>
      </w:r>
      <w:r>
        <w:rPr>
          <w:rFonts w:ascii="Times New Roman"/>
          <w:b w:val="false"/>
          <w:i w:val="false"/>
          <w:color w:val="000000"/>
          <w:sz w:val="28"/>
        </w:rPr>
        <w:t>
      (c) Определение «льготный период», используемое в пункте (b) данного Раздела означает период, предшествующий первой Дате платежа в погашение основного Займа в соответствии с графиком погашения, изложенным в Приложении 2 настоящего Соглашения о Займе.</w:t>
      </w:r>
      <w:r>
        <w:br/>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ставкам каждого процентного периода, равным сумме Лондонской межбанковской ставки и 0.60 % согласно Разделу 3.02 Правил предоставления займа, минус кредит 0.30 % согласно Разделу 3.03 Правил предоставления займа.</w:t>
      </w:r>
      <w:r>
        <w:br/>
      </w: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подписания настоящего Соглашения о Займе.</w:t>
      </w:r>
      <w:r>
        <w:br/>
      </w:r>
      <w:r>
        <w:rPr>
          <w:rFonts w:ascii="Times New Roman"/>
          <w:b w:val="false"/>
          <w:i w:val="false"/>
          <w:color w:val="000000"/>
          <w:sz w:val="28"/>
        </w:rPr>
        <w:t>
      Раздел 2.04. Проценты и прочие выплаты по Займу подлежат оплате один раз в полугодие 15 февраля и 15 августа каждого года.</w:t>
      </w:r>
      <w:r>
        <w:br/>
      </w:r>
      <w:r>
        <w:rPr>
          <w:rFonts w:ascii="Times New Roman"/>
          <w:b w:val="false"/>
          <w:i w:val="false"/>
          <w:color w:val="000000"/>
          <w:sz w:val="28"/>
        </w:rPr>
        <w:t>
      Раздел 2.05. Заемщик обязуется выплатить основную сумму Займа, востребованную со Ссудного счета в соответствии с положениями Приложения 2 настоящего Соглашения о Займе.</w:t>
      </w:r>
      <w:r>
        <w:br/>
      </w:r>
      <w:r>
        <w:rPr>
          <w:rFonts w:ascii="Times New Roman"/>
          <w:b w:val="false"/>
          <w:i w:val="false"/>
          <w:color w:val="000000"/>
          <w:sz w:val="28"/>
        </w:rPr>
        <w:t>
      Раздел 2.06. (a) Заемщик вправе в любое время запросить нижеследующие конвертации Займа с целью обеспечения рационального регулирования Займа:</w:t>
      </w:r>
      <w:r>
        <w:br/>
      </w:r>
      <w:r>
        <w:rPr>
          <w:rFonts w:ascii="Times New Roman"/>
          <w:b w:val="false"/>
          <w:i w:val="false"/>
          <w:color w:val="000000"/>
          <w:sz w:val="28"/>
        </w:rPr>
        <w:t>
      (i) Изменение валюты Займа полной или частичной суммы Займа, востребованной или невостребованной, на утвержденную валюту;</w:t>
      </w:r>
      <w:r>
        <w:br/>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или невостребованного, с плавающей процентной ставки на фиксированную 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(b) Любой запрос об изменениях, в соответствии с пунктом (a)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p>
      <w:pPr>
        <w:spacing w:after="0"/>
        <w:ind w:left="0"/>
        <w:jc w:val="left"/>
      </w:pPr>
      <w:r>
        <w:rPr>
          <w:rFonts w:ascii="Times New Roman"/>
          <w:b/>
          <w:i w:val="false"/>
          <w:color w:val="000000"/>
        </w:rPr>
        <w:t xml:space="preserve"> СТАТЬЯ III</w:t>
      </w:r>
      <w:r>
        <w:br/>
      </w:r>
      <w:r>
        <w:rPr>
          <w:rFonts w:ascii="Times New Roman"/>
          <w:b/>
          <w:i w:val="false"/>
          <w:color w:val="000000"/>
        </w:rPr>
        <w:t>
Использование средств Займа</w:t>
      </w:r>
    </w:p>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Раздел 3.02. Средства Займа должны быть выделены и сняты в соответствии с положениями Приложения 3 настоящего Соглашения о Займе, при этом допустимы периодические дополнения в данном Приложении по согласию Заемщика и АБР.</w:t>
      </w:r>
      <w:r>
        <w:br/>
      </w:r>
      <w:r>
        <w:rPr>
          <w:rFonts w:ascii="Times New Roman"/>
          <w:b w:val="false"/>
          <w:i w:val="false"/>
          <w:color w:val="000000"/>
          <w:sz w:val="28"/>
        </w:rPr>
        <w:t>
      Раздел 3.03. Если АБР не указано иное, Заемщик закупает или обязуется закупить по всем статьям расходов, финансируемых за счет Займа, в соответствии с положениями Приложения 4 настоящего Соглашения о Займе. АБР вправе отказать в финансировании контракта, по которому такой закуп не был в значительной степени произведен в соответствии с процедурами, оговоренными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Раздел 3.04. Если АБР не согласен на иное, Заемщик обязуется обеспечить, чтобы все статьи расходов, финансируемые за счет средств Займа, были использованы исключительно в целях исполнения Проекта.</w:t>
      </w:r>
      <w:r>
        <w:br/>
      </w:r>
      <w:r>
        <w:rPr>
          <w:rFonts w:ascii="Times New Roman"/>
          <w:b w:val="false"/>
          <w:i w:val="false"/>
          <w:color w:val="000000"/>
          <w:sz w:val="28"/>
        </w:rPr>
        <w:t>
      Раздел 3.05. Датой закрытия Займа для целей, изложенных в разделе 9.02 Правил предоставления Займа, считается 31 января 2016 г., либо другая дата, согласованная между Заемщиком и АБР.</w:t>
      </w:r>
    </w:p>
    <w:p>
      <w:pPr>
        <w:spacing w:after="0"/>
        <w:ind w:left="0"/>
        <w:jc w:val="left"/>
      </w:pPr>
      <w:r>
        <w:rPr>
          <w:rFonts w:ascii="Times New Roman"/>
          <w:b/>
          <w:i w:val="false"/>
          <w:color w:val="000000"/>
        </w:rPr>
        <w:t xml:space="preserve"> СТАТЬЯ IV</w:t>
      </w:r>
      <w:r>
        <w:br/>
      </w:r>
      <w:r>
        <w:rPr>
          <w:rFonts w:ascii="Times New Roman"/>
          <w:b/>
          <w:i w:val="false"/>
          <w:color w:val="000000"/>
        </w:rPr>
        <w:t>
Особые условия</w:t>
      </w:r>
    </w:p>
    <w:p>
      <w:pPr>
        <w:spacing w:after="0"/>
        <w:ind w:left="0"/>
        <w:jc w:val="both"/>
      </w:pPr>
      <w:r>
        <w:rPr>
          <w:rFonts w:ascii="Times New Roman"/>
          <w:b w:val="false"/>
          <w:i w:val="false"/>
          <w:color w:val="000000"/>
          <w:sz w:val="28"/>
        </w:rPr>
        <w:t>      Раздел 4.01. (a) Заемщик обязуется исполнять Проект с должной ответственностью и эффективностью и в соответствии с рациональной технической, финансовой, коммерческой практикой и практикой развития дорог.</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Приложении 5 настоящего Соглашения о Займе.</w:t>
      </w:r>
      <w:r>
        <w:br/>
      </w: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для эксплуатации и технического обслуживания Проектных объектов.</w:t>
      </w:r>
      <w:r>
        <w:br/>
      </w:r>
      <w:r>
        <w:rPr>
          <w:rFonts w:ascii="Times New Roman"/>
          <w:b w:val="false"/>
          <w:i w:val="false"/>
          <w:color w:val="000000"/>
          <w:sz w:val="28"/>
        </w:rPr>
        <w:t>
      Раздел 4.03. (a) В процессе реализации Проекта Заемщик обязуется обеспечить привлечение компетентных и квалифицированных консультантов и подрядчиков, приемлемых для АБР, в степени и на срок и условиях, отвечающих требованиям Заемщика и АБР.</w:t>
      </w:r>
      <w:r>
        <w:br/>
      </w:r>
      <w:r>
        <w:rPr>
          <w:rFonts w:ascii="Times New Roman"/>
          <w:b w:val="false"/>
          <w:i w:val="false"/>
          <w:color w:val="000000"/>
          <w:sz w:val="28"/>
        </w:rPr>
        <w:t>
      (b) Заемщик обязуется обеспечить реализацию Проекта в соответствии с планами, стандартами проектирования, спецификациями, графиками работ и строительными методами, приемлемыми для АБР. Заемщик обязуется предоставить либо обеспечить предоставление данных планов, стандартов проектирования,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Раздел 4.04. Заемщик обязуется обеспечить, чтобы все действия его министерств и организаций в отношении исполнения Проекта и эксплуатации Проектных объектов производились в соответствии с рациональными административной политикой и процедурами.</w:t>
      </w:r>
      <w:r>
        <w:br/>
      </w:r>
      <w:r>
        <w:rPr>
          <w:rFonts w:ascii="Times New Roman"/>
          <w:b w:val="false"/>
          <w:i w:val="false"/>
          <w:color w:val="000000"/>
          <w:sz w:val="28"/>
        </w:rPr>
        <w:t>
      Раздел 4.05. (a) Заемщик обязуется (i) вести либо обеспечить ведение отдельных счетов для Проекта; (ii) проводить ежегодный аудит данных счетов бухучета и соответствующих финансовых отчетов в соответствии с четким применением соответствующих стандартов аудита, с привлечением независимых аудиторов, чьи квалификация, опыт работы и сфера полномочий отвечают требованиям АБР; (iii) предоставить АБР, по мере получения, но ни в коей мере не более чем по истечении шести (6) месяцев с момента окончания каждого соответствующего фискального года, заверенные копии данных счетов и финансовых отчетов, прошедших аудит, а также отчет аудиторов (включая мнение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периодическому обоснованному востребованию АБР.</w:t>
      </w:r>
      <w:r>
        <w:br/>
      </w:r>
      <w:r>
        <w:rPr>
          <w:rFonts w:ascii="Times New Roman"/>
          <w:b w:val="false"/>
          <w:i w:val="false"/>
          <w:color w:val="000000"/>
          <w:sz w:val="28"/>
        </w:rPr>
        <w:t>
      (b) Заемщик обязуется предоставить АБР право, по востребованию АБР, периодически обсуждать финансовые отчеты Заемщика для Проекта и его финансовые дела, имеющие отношение к Проекту, с аудиторами, нанятыми Заемщиком в соответствии с вышеуказанным Разделом 4.05(a) и обязуется уполномочить и потребовать, чтобы любой из представителей аудиторов принял участие в данном обсуждении, по запросу АБР, при условии, что обсуждение будет проводиться только в присутствии уполномоченного представителя Заемщика, если иное не указано Заемщиком.</w:t>
      </w:r>
      <w:r>
        <w:br/>
      </w: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финансируемые за счет средств Займа, а также соответствующие записи и документы.</w:t>
      </w:r>
      <w:r>
        <w:br/>
      </w:r>
      <w:r>
        <w:rPr>
          <w:rFonts w:ascii="Times New Roman"/>
          <w:b w:val="false"/>
          <w:i w:val="false"/>
          <w:color w:val="000000"/>
          <w:sz w:val="28"/>
        </w:rPr>
        <w:t>
      Раздел 4.07. Заемщик обязуется обеспечить, чтобы все Проектные объекты эксплуатировались, обслуживались и ремонтировались в соответствии с рациональными административными, финансовыми, инженерными, экологическими и социальными мерами безопасности, а также в соответствии в процедурами эксплуатации и технического обслуживания дорог.</w:t>
      </w:r>
    </w:p>
    <w:p>
      <w:pPr>
        <w:spacing w:after="0"/>
        <w:ind w:left="0"/>
        <w:jc w:val="left"/>
      </w:pPr>
      <w:r>
        <w:rPr>
          <w:rFonts w:ascii="Times New Roman"/>
          <w:b/>
          <w:i w:val="false"/>
          <w:color w:val="000000"/>
        </w:rPr>
        <w:t xml:space="preserve"> СТАТЬЯ V</w:t>
      </w:r>
      <w:r>
        <w:br/>
      </w:r>
      <w:r>
        <w:rPr>
          <w:rFonts w:ascii="Times New Roman"/>
          <w:b/>
          <w:i w:val="false"/>
          <w:color w:val="000000"/>
        </w:rPr>
        <w:t>
Срок действия</w:t>
      </w:r>
    </w:p>
    <w:p>
      <w:pPr>
        <w:spacing w:after="0"/>
        <w:ind w:left="0"/>
        <w:jc w:val="both"/>
      </w:pPr>
      <w:r>
        <w:rPr>
          <w:rFonts w:ascii="Times New Roman"/>
          <w:b w:val="false"/>
          <w:i w:val="false"/>
          <w:color w:val="000000"/>
          <w:sz w:val="28"/>
        </w:rPr>
        <w:t>      Раздел 5.01. Дата по истечении шестидесяти (60)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p>
      <w:pPr>
        <w:spacing w:after="0"/>
        <w:ind w:left="0"/>
        <w:jc w:val="left"/>
      </w:pPr>
      <w:r>
        <w:rPr>
          <w:rFonts w:ascii="Times New Roman"/>
          <w:b/>
          <w:i w:val="false"/>
          <w:color w:val="000000"/>
        </w:rPr>
        <w:t xml:space="preserve"> СТАТЬЯ VI</w:t>
      </w:r>
      <w:r>
        <w:br/>
      </w:r>
      <w:r>
        <w:rPr>
          <w:rFonts w:ascii="Times New Roman"/>
          <w:b/>
          <w:i w:val="false"/>
          <w:color w:val="000000"/>
        </w:rPr>
        <w:t>
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r>
        <w:br/>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Факс:</w:t>
      </w:r>
      <w:r>
        <w:br/>
      </w: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xml:space="preserve">      За </w:t>
      </w:r>
      <w:r>
        <w:rPr>
          <w:rFonts w:ascii="Times New Roman"/>
          <w:b w:val="false"/>
          <w:i w:val="false"/>
          <w:color w:val="000000"/>
          <w:sz w:val="28"/>
          <w:u w:val="single"/>
        </w:rPr>
        <w:t>АБР</w:t>
      </w:r>
      <w:r>
        <w:br/>
      </w: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r>
        <w:br/>
      </w: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r>
        <w:br/>
      </w:r>
      <w:r>
        <w:rPr>
          <w:rFonts w:ascii="Times New Roman"/>
          <w:b w:val="false"/>
          <w:i w:val="false"/>
          <w:color w:val="000000"/>
          <w:sz w:val="28"/>
        </w:rPr>
        <w:t>
___________________________</w:t>
      </w:r>
      <w:r>
        <w:br/>
      </w: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w:t>
      </w:r>
      <w:r>
        <w:br/>
      </w:r>
      <w:r>
        <w:rPr>
          <w:rFonts w:ascii="Times New Roman"/>
          <w:b/>
          <w:i w:val="false"/>
          <w:color w:val="000000"/>
        </w:rPr>
        <w:t>
Описание Проекта</w:t>
      </w:r>
    </w:p>
    <w:p>
      <w:pPr>
        <w:spacing w:after="0"/>
        <w:ind w:left="0"/>
        <w:jc w:val="both"/>
      </w:pPr>
      <w:r>
        <w:rPr>
          <w:rFonts w:ascii="Times New Roman"/>
          <w:b w:val="false"/>
          <w:i w:val="false"/>
          <w:color w:val="000000"/>
          <w:sz w:val="28"/>
        </w:rPr>
        <w:t>      1. Целью Инвестиционной программы является увеличение транспортной связки и его эффективности, а также повышение институциональной эффективности через следующие мероприятия:</w:t>
      </w:r>
      <w:r>
        <w:br/>
      </w:r>
      <w:r>
        <w:rPr>
          <w:rFonts w:ascii="Times New Roman"/>
          <w:b w:val="false"/>
          <w:i w:val="false"/>
          <w:color w:val="000000"/>
          <w:sz w:val="28"/>
        </w:rPr>
        <w:t>
      (a) улучшение дороги (реконструкция около 790 км участков Транспортного коридора ЦАРЭС 2 в Мангистауской области);</w:t>
      </w:r>
      <w:r>
        <w:br/>
      </w:r>
      <w:r>
        <w:rPr>
          <w:rFonts w:ascii="Times New Roman"/>
          <w:b w:val="false"/>
          <w:i w:val="false"/>
          <w:color w:val="000000"/>
          <w:sz w:val="28"/>
        </w:rPr>
        <w:t>
      (b) усиление потенциала для планирования, управления Проектом и активами Проекта; а также</w:t>
      </w:r>
      <w:r>
        <w:br/>
      </w:r>
      <w:r>
        <w:rPr>
          <w:rFonts w:ascii="Times New Roman"/>
          <w:b w:val="false"/>
          <w:i w:val="false"/>
          <w:color w:val="000000"/>
          <w:sz w:val="28"/>
        </w:rPr>
        <w:t>
      (c) улучшение приграничной инфраструктуры и прилежащих объектов.</w:t>
      </w:r>
      <w:r>
        <w:br/>
      </w:r>
      <w:r>
        <w:rPr>
          <w:rFonts w:ascii="Times New Roman"/>
          <w:b w:val="false"/>
          <w:i w:val="false"/>
          <w:color w:val="000000"/>
          <w:sz w:val="28"/>
        </w:rPr>
        <w:t>
      2. Будучи частью Инвестиционной программы, Проект будет поддерживать следующие мероприятия, подробно описанные в ПЗФ:</w:t>
      </w:r>
      <w:r>
        <w:br/>
      </w:r>
      <w:r>
        <w:rPr>
          <w:rFonts w:ascii="Times New Roman"/>
          <w:b w:val="false"/>
          <w:i w:val="false"/>
          <w:color w:val="000000"/>
          <w:sz w:val="28"/>
        </w:rPr>
        <w:t>
      (a) реконструкция около 200 км участков дороги (между Км372.6 и Км 514.3; а также между КМ574 и 632.3), включая каналы и мосты, эстакады, дорожные знаки и сигнальные посты, вдоль участков подверженных авариям;</w:t>
      </w:r>
      <w:r>
        <w:br/>
      </w:r>
      <w:r>
        <w:rPr>
          <w:rFonts w:ascii="Times New Roman"/>
          <w:b w:val="false"/>
          <w:i w:val="false"/>
          <w:color w:val="000000"/>
          <w:sz w:val="28"/>
        </w:rPr>
        <w:t>
      (b) содействие в надзоре за строительством и управлении Проектом;</w:t>
      </w:r>
      <w:r>
        <w:br/>
      </w:r>
      <w:r>
        <w:rPr>
          <w:rFonts w:ascii="Times New Roman"/>
          <w:b w:val="false"/>
          <w:i w:val="false"/>
          <w:color w:val="000000"/>
          <w:sz w:val="28"/>
        </w:rPr>
        <w:t>
      (c) разработка технико-экономического обоснования последующих проектов; и</w:t>
      </w:r>
      <w:r>
        <w:br/>
      </w:r>
      <w:r>
        <w:rPr>
          <w:rFonts w:ascii="Times New Roman"/>
          <w:b w:val="false"/>
          <w:i w:val="false"/>
          <w:color w:val="000000"/>
          <w:sz w:val="28"/>
        </w:rPr>
        <w:t>
      d) развитие потенциала для строительства и содержания дорог, закупок по проектированию, управления контрактами, усиление мероприятий по охране окружающей среды и переселению; а также мероприятия по пересечению границы.</w:t>
      </w:r>
      <w:r>
        <w:br/>
      </w:r>
      <w:r>
        <w:rPr>
          <w:rFonts w:ascii="Times New Roman"/>
          <w:b w:val="false"/>
          <w:i w:val="false"/>
          <w:color w:val="000000"/>
          <w:sz w:val="28"/>
        </w:rPr>
        <w:t>
      3. Завершение Проекта ожидается к 30 июня 2015 г.</w:t>
      </w:r>
    </w:p>
    <w:p>
      <w:pPr>
        <w:spacing w:after="0"/>
        <w:ind w:left="0"/>
        <w:jc w:val="left"/>
      </w:pPr>
      <w:r>
        <w:rPr>
          <w:rFonts w:ascii="Times New Roman"/>
          <w:b/>
          <w:i w:val="false"/>
          <w:color w:val="000000"/>
        </w:rPr>
        <w:t xml:space="preserve"> ПРИЛОЖЕНИЕ 2</w:t>
      </w:r>
      <w:r>
        <w:br/>
      </w:r>
      <w:r>
        <w:rPr>
          <w:rFonts w:ascii="Times New Roman"/>
          <w:b/>
          <w:i w:val="false"/>
          <w:color w:val="000000"/>
        </w:rPr>
        <w:t>
График погашения Займа</w:t>
      </w:r>
      <w:r>
        <w:br/>
      </w:r>
      <w:r>
        <w:rPr>
          <w:rFonts w:ascii="Times New Roman"/>
          <w:b/>
          <w:i w:val="false"/>
          <w:color w:val="000000"/>
        </w:rPr>
        <w:t>
(Транспортный коридор ЦАРЭС 2 (участки Мангистауской области) Инвестиционная программа – Проект 1)</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будет определена АБР путем умножения:</w:t>
      </w:r>
      <w:r>
        <w:br/>
      </w:r>
      <w:r>
        <w:rPr>
          <w:rFonts w:ascii="Times New Roman"/>
          <w:b w:val="false"/>
          <w:i w:val="false"/>
          <w:color w:val="000000"/>
          <w:sz w:val="28"/>
        </w:rPr>
        <w:t>
      (a) общей основной суммы Займа, востребованного и невостребованного на момент первой даты платежа в погашение основного Займа; на</w:t>
      </w:r>
      <w:r>
        <w:br/>
      </w:r>
      <w:r>
        <w:rPr>
          <w:rFonts w:ascii="Times New Roman"/>
          <w:b w:val="false"/>
          <w:i w:val="false"/>
          <w:color w:val="000000"/>
          <w:sz w:val="28"/>
        </w:rPr>
        <w:t>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пункте 4 настоящего Приложения, к которым применима Конвертация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8"/>
        <w:gridCol w:w="5292"/>
      </w:tblGrid>
      <w:tr>
        <w:trPr>
          <w:trHeight w:val="6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платежа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Очередной взно</w:t>
            </w:r>
            <w:r>
              <w:br/>
            </w:r>
            <w:r>
              <w:rPr>
                <w:rFonts w:ascii="Times New Roman"/>
                <w:b w:val="false"/>
                <w:i w:val="false"/>
                <w:color w:val="000000"/>
                <w:sz w:val="20"/>
              </w:rPr>
              <w:t>
(выраженный в %)</w:t>
            </w:r>
          </w:p>
        </w:tc>
      </w:tr>
      <w:tr>
        <w:trPr>
          <w:trHeight w:val="6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2016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2016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2017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2017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2018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2018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2019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2019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2020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2020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2021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2021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2022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2022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2023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2023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2024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2024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2025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2025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2026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2026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2027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2027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2028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75"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2028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2029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2029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2030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2030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2031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2031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2032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2032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2033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2033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2034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2034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2035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27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2035 года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r>
    </w:tbl>
    <w:p>
      <w:pPr>
        <w:spacing w:after="0"/>
        <w:ind w:left="0"/>
        <w:jc w:val="both"/>
      </w:pPr>
      <w:r>
        <w:rPr>
          <w:rFonts w:ascii="Times New Roman"/>
          <w:b w:val="false"/>
          <w:i w:val="false"/>
          <w:color w:val="000000"/>
          <w:sz w:val="28"/>
        </w:rPr>
        <w:t>      2. Если средства Займа не были в полном объеме востребованы до первой даты платежа в погашение основного Займа, основная сумма,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(а)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 востребованную, на момент этой даты соответствии с пунктом 1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применима Конвертация валюты.</w:t>
      </w:r>
      <w:r>
        <w:br/>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дни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на каждую дату платежа в погашение основного Займа, начиная со второй даты после снятия средств.</w:t>
      </w:r>
      <w:r>
        <w:br/>
      </w:r>
      <w:r>
        <w:rPr>
          <w:rFonts w:ascii="Times New Roman"/>
          <w:b w:val="false"/>
          <w:i w:val="false"/>
          <w:color w:val="000000"/>
          <w:sz w:val="28"/>
        </w:rPr>
        <w:t>
      4. Вне зависимости от положений пунктов 1 и 2 настоящего Приложения, при Конвертации валют в полном объеме или частично востребованных средств Займа на утвержденную валюту, сумма средств, конвертированных на вышеупомянутую утвержденную валюту, которая подлежит погашению в любую из дат основного погашения после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суммы в указанной утвержденной валюте, подлежащие выплате АБР в рамках хеджа валют,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p>
      <w:pPr>
        <w:spacing w:after="0"/>
        <w:ind w:left="0"/>
        <w:jc w:val="left"/>
      </w:pPr>
      <w:r>
        <w:rPr>
          <w:rFonts w:ascii="Times New Roman"/>
          <w:b/>
          <w:i w:val="false"/>
          <w:color w:val="000000"/>
        </w:rPr>
        <w:t xml:space="preserve"> ПРИЛОЖЕНИЕ 3</w:t>
      </w:r>
      <w:r>
        <w:br/>
      </w:r>
      <w:r>
        <w:rPr>
          <w:rFonts w:ascii="Times New Roman"/>
          <w:b/>
          <w:i w:val="false"/>
          <w:color w:val="000000"/>
        </w:rPr>
        <w:t>
Распределение и снятие средств Займа</w:t>
      </w:r>
    </w:p>
    <w:p>
      <w:pPr>
        <w:spacing w:after="0"/>
        <w:ind w:left="0"/>
        <w:jc w:val="both"/>
      </w:pP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Таблица в настоящем Приложении излагает Категории товаров, работ, консультационных услуг и прочих расходов, финансируемых за счет средств Займа, а также распределение сумм Займа для каждой такой Категорий (в дальнейшем именуется Таблица). (Упоминания в дальнейшем понятий «Категория» или «Категории» в настоящем Приложении относятся к Категории или Категориям Таблицы.)</w:t>
      </w:r>
    </w:p>
    <w:p>
      <w:pPr>
        <w:spacing w:after="0"/>
        <w:ind w:left="0"/>
        <w:jc w:val="both"/>
      </w:pPr>
      <w:r>
        <w:rPr>
          <w:rFonts w:ascii="Times New Roman"/>
          <w:b w:val="false"/>
          <w:i w:val="false"/>
          <w:color w:val="000000"/>
          <w:sz w:val="28"/>
          <w:u w:val="single"/>
        </w:rPr>
        <w:t>Процентные значения финансирования АБР</w:t>
      </w:r>
    </w:p>
    <w:p>
      <w:pPr>
        <w:spacing w:after="0"/>
        <w:ind w:left="0"/>
        <w:jc w:val="both"/>
      </w:pPr>
      <w:r>
        <w:rPr>
          <w:rFonts w:ascii="Times New Roman"/>
          <w:b w:val="false"/>
          <w:i w:val="false"/>
          <w:color w:val="000000"/>
          <w:sz w:val="28"/>
        </w:rPr>
        <w:t>      2. Если АБР не согласовано иное, расходы Категорий, перечисленные в Таблице, будут финансироваться за счет средств Займа на основе процентных значений, указанных в Таблице.</w:t>
      </w:r>
    </w:p>
    <w:p>
      <w:pPr>
        <w:spacing w:after="0"/>
        <w:ind w:left="0"/>
        <w:jc w:val="both"/>
      </w:pPr>
      <w:r>
        <w:rPr>
          <w:rFonts w:ascii="Times New Roman"/>
          <w:b w:val="false"/>
          <w:i w:val="false"/>
          <w:color w:val="000000"/>
          <w:sz w:val="28"/>
          <w:u w:val="single"/>
        </w:rPr>
        <w:t>Перераспределение</w:t>
      </w:r>
    </w:p>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(a) если сумма Займа, выделенная для каждой категории является недостаточной для финансирования всех согласованных расходов данной Категории, АБР вправе, при условии уведомления Заемщика, (i) перераспределить средства для данной Категории с целью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p>
      <w:pPr>
        <w:spacing w:after="0"/>
        <w:ind w:left="0"/>
        <w:jc w:val="both"/>
      </w:pPr>
      <w:r>
        <w:rPr>
          <w:rFonts w:ascii="Times New Roman"/>
          <w:b w:val="false"/>
          <w:i w:val="false"/>
          <w:color w:val="000000"/>
          <w:sz w:val="28"/>
          <w:u w:val="single"/>
        </w:rPr>
        <w:t>Процедура выплаты Займа</w:t>
      </w:r>
    </w:p>
    <w:p>
      <w:pPr>
        <w:spacing w:after="0"/>
        <w:ind w:left="0"/>
        <w:jc w:val="both"/>
      </w:pPr>
      <w:r>
        <w:rPr>
          <w:rFonts w:ascii="Times New Roman"/>
          <w:b w:val="false"/>
          <w:i w:val="false"/>
          <w:color w:val="000000"/>
          <w:sz w:val="28"/>
        </w:rPr>
        <w:t>      4. Если АБР не согласовано иное, средства Займа подлежат оплате в соответствии с Руководством по выплате Займа.</w:t>
      </w:r>
    </w:p>
    <w:p>
      <w:pPr>
        <w:spacing w:after="0"/>
        <w:ind w:left="0"/>
        <w:jc w:val="both"/>
      </w:pPr>
      <w:r>
        <w:rPr>
          <w:rFonts w:ascii="Times New Roman"/>
          <w:b w:val="false"/>
          <w:i w:val="false"/>
          <w:color w:val="000000"/>
          <w:sz w:val="28"/>
          <w:u w:val="single"/>
        </w:rPr>
        <w:t>Условие снятия средств со счета Займа</w:t>
      </w:r>
    </w:p>
    <w:p>
      <w:pPr>
        <w:spacing w:after="0"/>
        <w:ind w:left="0"/>
        <w:jc w:val="both"/>
      </w:pPr>
      <w:r>
        <w:rPr>
          <w:rFonts w:ascii="Times New Roman"/>
          <w:b w:val="false"/>
          <w:i w:val="false"/>
          <w:color w:val="000000"/>
          <w:sz w:val="28"/>
        </w:rPr>
        <w:t>      5. Вне зависимости от прочих положений настоящего Соглашения о Займе, снятие средств со счета Займа для работы не могут производиться до тех пор, пока Заемщик не предоставит соответствующие средства для выкупа земель МТК, а также все права на землю и права на прокладку дорог, без каких-либо претензий третьих лиц и обременений, необходимые для строительных работ.</w:t>
      </w:r>
    </w:p>
    <w:p>
      <w:pPr>
        <w:spacing w:after="0"/>
        <w:ind w:left="0"/>
        <w:jc w:val="left"/>
      </w:pPr>
      <w:r>
        <w:rPr>
          <w:rFonts w:ascii="Times New Roman"/>
          <w:b/>
          <w:i w:val="false"/>
          <w:color w:val="000000"/>
        </w:rPr>
        <w:t xml:space="preserve">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3717"/>
        <w:gridCol w:w="3838"/>
        <w:gridCol w:w="4543"/>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РАСПРЕДЕЛЕНИЕ И СНЯТИЯ СРЕДСТВ ЗАЙМА</w:t>
            </w:r>
            <w:r>
              <w:br/>
            </w:r>
            <w:r>
              <w:rPr>
                <w:rFonts w:ascii="Times New Roman"/>
                <w:b/>
                <w:i w:val="false"/>
                <w:color w:val="000000"/>
                <w:sz w:val="20"/>
              </w:rPr>
              <w:t>
(Транспортный коридор ЦАРЭС 2</w:t>
            </w:r>
            <w:r>
              <w:br/>
            </w:r>
            <w:r>
              <w:rPr>
                <w:rFonts w:ascii="Times New Roman"/>
                <w:b/>
                <w:i w:val="false"/>
                <w:color w:val="000000"/>
                <w:sz w:val="20"/>
              </w:rPr>
              <w:t>
(участки Мангистауской области)</w:t>
            </w:r>
            <w:r>
              <w:br/>
            </w:r>
            <w:r>
              <w:rPr>
                <w:rFonts w:ascii="Times New Roman"/>
                <w:b/>
                <w:i w:val="false"/>
                <w:color w:val="000000"/>
                <w:sz w:val="20"/>
              </w:rPr>
              <w:t>
Инвестиционная программа – Проект 1)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ФИНАНСИРОВАНИЕ АБР
</w:t>
            </w:r>
          </w:p>
        </w:tc>
      </w:tr>
      <w:tr>
        <w:trPr>
          <w:trHeight w:val="465"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Общая сумма</w:t>
            </w:r>
            <w:r>
              <w:br/>
            </w:r>
            <w:r>
              <w:rPr>
                <w:rFonts w:ascii="Times New Roman"/>
                <w:b/>
                <w:i w:val="false"/>
                <w:color w:val="000000"/>
                <w:sz w:val="20"/>
              </w:rPr>
              <w:t>
распределенная для</w:t>
            </w:r>
            <w:r>
              <w:br/>
            </w:r>
            <w:r>
              <w:rPr>
                <w:rFonts w:ascii="Times New Roman"/>
                <w:b/>
                <w:i w:val="false"/>
                <w:color w:val="000000"/>
                <w:sz w:val="20"/>
              </w:rPr>
              <w:t>
финансирования АБР ($)</w:t>
            </w:r>
            <w:r>
              <w:br/>
            </w:r>
            <w:r>
              <w:rPr>
                <w:rFonts w:ascii="Times New Roman"/>
                <w:b/>
                <w:i w:val="false"/>
                <w:color w:val="000000"/>
                <w:sz w:val="20"/>
              </w:rPr>
              <w:t>
Категория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Процент и основа для</w:t>
            </w:r>
            <w:r>
              <w:br/>
            </w:r>
            <w:r>
              <w:rPr>
                <w:rFonts w:ascii="Times New Roman"/>
                <w:b/>
                <w:i w:val="false"/>
                <w:color w:val="000000"/>
                <w:sz w:val="20"/>
              </w:rPr>
              <w:t>
снятия со счета</w:t>
            </w:r>
            <w:r>
              <w:br/>
            </w:r>
            <w:r>
              <w:rPr>
                <w:rFonts w:ascii="Times New Roman"/>
                <w:b/>
                <w:i w:val="false"/>
                <w:color w:val="000000"/>
                <w:sz w:val="20"/>
              </w:rPr>
              <w:t>
Займа
</w:t>
            </w:r>
          </w:p>
        </w:tc>
      </w:tr>
      <w:tr>
        <w:trPr>
          <w:trHeight w:val="30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242 300 000</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процентов от общей</w:t>
            </w:r>
            <w:r>
              <w:br/>
            </w:r>
            <w:r>
              <w:rPr>
                <w:rFonts w:ascii="Times New Roman"/>
                <w:b w:val="false"/>
                <w:i w:val="false"/>
                <w:color w:val="000000"/>
                <w:sz w:val="20"/>
              </w:rPr>
              <w:t>
запрашиваемой суммы</w:t>
            </w:r>
            <w:r>
              <w:br/>
            </w:r>
            <w:r>
              <w:rPr>
                <w:rFonts w:ascii="Times New Roman"/>
                <w:b w:val="false"/>
                <w:i w:val="false"/>
                <w:color w:val="000000"/>
                <w:sz w:val="20"/>
              </w:rPr>
              <w:t>
затрат *</w:t>
            </w:r>
          </w:p>
        </w:tc>
      </w:tr>
      <w:tr>
        <w:trPr>
          <w:trHeight w:val="30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услуги</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процентов от общей</w:t>
            </w:r>
            <w:r>
              <w:br/>
            </w:r>
            <w:r>
              <w:rPr>
                <w:rFonts w:ascii="Times New Roman"/>
                <w:b w:val="false"/>
                <w:i w:val="false"/>
                <w:color w:val="000000"/>
                <w:sz w:val="20"/>
              </w:rPr>
              <w:t>
запрашиваемой суммы</w:t>
            </w:r>
            <w:r>
              <w:br/>
            </w:r>
            <w:r>
              <w:rPr>
                <w:rFonts w:ascii="Times New Roman"/>
                <w:b w:val="false"/>
                <w:i w:val="false"/>
                <w:color w:val="000000"/>
                <w:sz w:val="20"/>
              </w:rPr>
              <w:t>
затрат *</w:t>
            </w:r>
          </w:p>
        </w:tc>
      </w:tr>
      <w:tr>
        <w:trPr>
          <w:trHeight w:val="30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Нераспределенные</w:t>
            </w:r>
            <w:r>
              <w:br/>
            </w:r>
            <w:r>
              <w:rPr>
                <w:rFonts w:ascii="Times New Roman"/>
                <w:b w:val="false"/>
                <w:i w:val="false"/>
                <w:color w:val="000000"/>
                <w:sz w:val="20"/>
              </w:rPr>
              <w:t>
средства</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24 700 000</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283 000 000</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Не включая налоги и пошлины, взимаемые на территории Заемщика</w:t>
      </w:r>
    </w:p>
    <w:p>
      <w:pPr>
        <w:spacing w:after="0"/>
        <w:ind w:left="0"/>
        <w:jc w:val="left"/>
      </w:pPr>
      <w:r>
        <w:rPr>
          <w:rFonts w:ascii="Times New Roman"/>
          <w:b/>
          <w:i w:val="false"/>
          <w:color w:val="000000"/>
        </w:rPr>
        <w:t xml:space="preserve"> ПРИЛОЖЕНИЕ 4</w:t>
      </w:r>
      <w:r>
        <w:br/>
      </w:r>
      <w:r>
        <w:rPr>
          <w:rFonts w:ascii="Times New Roman"/>
          <w:b/>
          <w:i w:val="false"/>
          <w:color w:val="000000"/>
        </w:rPr>
        <w:t>
Закупки работ и консультационных услуг</w:t>
      </w:r>
    </w:p>
    <w:p>
      <w:pPr>
        <w:spacing w:after="0"/>
        <w:ind w:left="0"/>
        <w:jc w:val="both"/>
      </w:pP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Все работы и консультационные услуги, финансируемые за счет средств Займа, подлежат исполнению и контролю в соответствии с Руководством по закупкам, и Руководством по привлечению консультационных услуг, соответственно.</w:t>
      </w:r>
      <w:r>
        <w:br/>
      </w:r>
      <w:r>
        <w:rPr>
          <w:rFonts w:ascii="Times New Roman"/>
          <w:b w:val="false"/>
          <w:i w:val="false"/>
          <w:color w:val="000000"/>
          <w:sz w:val="28"/>
        </w:rPr>
        <w:t>
      2. Все термины, используемые и не определенные иначе в настоящем Соглашении о Займе, имеют значения, изложенные в Руководстве по закупкам и (или) Руководстве по привлечению консультационных услуг в соответствующих случаях.</w:t>
      </w:r>
    </w:p>
    <w:p>
      <w:pPr>
        <w:spacing w:after="0"/>
        <w:ind w:left="0"/>
        <w:jc w:val="both"/>
      </w:pPr>
      <w:r>
        <w:rPr>
          <w:rFonts w:ascii="Times New Roman"/>
          <w:b w:val="false"/>
          <w:i w:val="false"/>
          <w:color w:val="000000"/>
          <w:sz w:val="28"/>
          <w:u w:val="single"/>
        </w:rPr>
        <w:t>Закупка работ</w:t>
      </w:r>
    </w:p>
    <w:p>
      <w:pPr>
        <w:spacing w:after="0"/>
        <w:ind w:left="0"/>
        <w:jc w:val="both"/>
      </w:pPr>
      <w:r>
        <w:rPr>
          <w:rFonts w:ascii="Times New Roman"/>
          <w:b w:val="false"/>
          <w:i w:val="false"/>
          <w:color w:val="000000"/>
          <w:sz w:val="28"/>
        </w:rPr>
        <w:t>      3. Если АБР не согласовано иное, работы должны будут приобретаться на основе процедур международных конкурсных торгов.</w:t>
      </w:r>
      <w:r>
        <w:br/>
      </w:r>
      <w:r>
        <w:rPr>
          <w:rFonts w:ascii="Times New Roman"/>
          <w:b w:val="false"/>
          <w:i w:val="false"/>
          <w:color w:val="000000"/>
          <w:sz w:val="28"/>
        </w:rPr>
        <w:t>
      4. Процедура закупок, помимо прочих условий, подлежит исполнению в соответствии с детальными договоренностями и пороговой стоимостью, указанными в Плане закупок. Заемщик вправе модифицировать процедуру закупок или пороговую стоимость только при условии предварительного согласования с АБР, при этом все изменения должны отражаться в дополнениях к Плану закупок.</w:t>
      </w:r>
    </w:p>
    <w:p>
      <w:pPr>
        <w:spacing w:after="0"/>
        <w:ind w:left="0"/>
        <w:jc w:val="both"/>
      </w:pPr>
      <w:r>
        <w:rPr>
          <w:rFonts w:ascii="Times New Roman"/>
          <w:b w:val="false"/>
          <w:i w:val="false"/>
          <w:color w:val="000000"/>
          <w:sz w:val="28"/>
          <w:u w:val="single"/>
        </w:rPr>
        <w:t>Условие заключения контракта</w:t>
      </w:r>
    </w:p>
    <w:p>
      <w:pPr>
        <w:spacing w:after="0"/>
        <w:ind w:left="0"/>
        <w:jc w:val="both"/>
      </w:pPr>
      <w:r>
        <w:rPr>
          <w:rFonts w:ascii="Times New Roman"/>
          <w:b w:val="false"/>
          <w:i w:val="false"/>
          <w:color w:val="000000"/>
          <w:sz w:val="28"/>
        </w:rPr>
        <w:t>      5.МТК обязуется не заключать контракт на выполнение работ до тех пор пока:</w:t>
      </w:r>
      <w:r>
        <w:br/>
      </w:r>
      <w:r>
        <w:rPr>
          <w:rFonts w:ascii="Times New Roman"/>
          <w:b w:val="false"/>
          <w:i w:val="false"/>
          <w:color w:val="000000"/>
          <w:sz w:val="28"/>
        </w:rPr>
        <w:t>
      a) ПЭО не будет одобрен АБР;</w:t>
      </w:r>
      <w:r>
        <w:br/>
      </w:r>
      <w:r>
        <w:rPr>
          <w:rFonts w:ascii="Times New Roman"/>
          <w:b w:val="false"/>
          <w:i w:val="false"/>
          <w:color w:val="000000"/>
          <w:sz w:val="28"/>
        </w:rPr>
        <w:t>
      b) ПВЗП не будет одобрен АБР</w:t>
      </w:r>
    </w:p>
    <w:p>
      <w:pPr>
        <w:spacing w:after="0"/>
        <w:ind w:left="0"/>
        <w:jc w:val="both"/>
      </w:pPr>
      <w:r>
        <w:rPr>
          <w:rFonts w:ascii="Times New Roman"/>
          <w:b w:val="false"/>
          <w:i w:val="false"/>
          <w:color w:val="000000"/>
          <w:sz w:val="28"/>
          <w:u w:val="single"/>
        </w:rPr>
        <w:t>Выбор консультационных услуг</w:t>
      </w:r>
    </w:p>
    <w:p>
      <w:pPr>
        <w:spacing w:after="0"/>
        <w:ind w:left="0"/>
        <w:jc w:val="both"/>
      </w:pPr>
      <w:r>
        <w:rPr>
          <w:rFonts w:ascii="Times New Roman"/>
          <w:b w:val="false"/>
          <w:i w:val="false"/>
          <w:color w:val="000000"/>
          <w:sz w:val="28"/>
        </w:rPr>
        <w:t>      6. Если АБР не указано иное, МТК обязуется выбрать и привлечь консультационные услуги, основываясь на оценке качества и цены услуг</w:t>
      </w:r>
      <w:r>
        <w:br/>
      </w:r>
      <w:r>
        <w:rPr>
          <w:rFonts w:ascii="Times New Roman"/>
          <w:b w:val="false"/>
          <w:i w:val="false"/>
          <w:color w:val="000000"/>
          <w:sz w:val="28"/>
        </w:rPr>
        <w:t>
      7. МТК обязуется нанять индивидуальных консультантов для управления программой согласно процедур, приемлемых для АБР при найме индивидуальных консультантов.</w:t>
      </w:r>
    </w:p>
    <w:p>
      <w:pPr>
        <w:spacing w:after="0"/>
        <w:ind w:left="0"/>
        <w:jc w:val="both"/>
      </w:pPr>
      <w:r>
        <w:rPr>
          <w:rFonts w:ascii="Times New Roman"/>
          <w:b w:val="false"/>
          <w:i w:val="false"/>
          <w:color w:val="000000"/>
          <w:sz w:val="28"/>
          <w:u w:val="single"/>
        </w:rPr>
        <w:t>Права на промышленную и интеллектуальную собственность</w:t>
      </w:r>
    </w:p>
    <w:p>
      <w:pPr>
        <w:spacing w:after="0"/>
        <w:ind w:left="0"/>
        <w:jc w:val="both"/>
      </w:pPr>
      <w:r>
        <w:rPr>
          <w:rFonts w:ascii="Times New Roman"/>
          <w:b w:val="false"/>
          <w:i w:val="false"/>
          <w:color w:val="000000"/>
          <w:sz w:val="28"/>
        </w:rPr>
        <w:t>      8. (a) МТК обязуется обеспечить, чтобы все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ущемляли права третьих лиц на промышленную или интеллектуальную собственность.</w:t>
      </w:r>
      <w:r>
        <w:br/>
      </w:r>
      <w:r>
        <w:rPr>
          <w:rFonts w:ascii="Times New Roman"/>
          <w:b w:val="false"/>
          <w:i w:val="false"/>
          <w:color w:val="000000"/>
          <w:sz w:val="28"/>
        </w:rPr>
        <w:t>
      (b) МТК обязуется обеспечить, чтобы все контракты по закупкам работ содержали соответствующие заверения, гарантии и, если необходимо, гарантии возмещения убытков со стороны подрядчика или поставщика в отношении случаев, указанных в подпункте (a) настоящего пункта.</w:t>
      </w:r>
      <w:r>
        <w:br/>
      </w:r>
      <w:r>
        <w:rPr>
          <w:rFonts w:ascii="Times New Roman"/>
          <w:b w:val="false"/>
          <w:i w:val="false"/>
          <w:color w:val="000000"/>
          <w:sz w:val="28"/>
        </w:rPr>
        <w:t>
      9. МТК обязуется обеспечить, чтобы все контракты с консультантами, финансируемыми АБР, содержали соответствующие заверения, гарантии и, если необходимо, гарантии возмещения убытков со стороны консультантов, при этом необходимо убедиться в том, что предоставляемые консультационные услуги не нарушают любое право третьих лиц на промышленную или интеллектуальную собственность.</w:t>
      </w:r>
    </w:p>
    <w:p>
      <w:pPr>
        <w:spacing w:after="0"/>
        <w:ind w:left="0"/>
        <w:jc w:val="both"/>
      </w:pPr>
      <w:r>
        <w:rPr>
          <w:rFonts w:ascii="Times New Roman"/>
          <w:b w:val="false"/>
          <w:i w:val="false"/>
          <w:color w:val="000000"/>
          <w:sz w:val="28"/>
          <w:u w:val="single"/>
        </w:rPr>
        <w:t>Рассмотрение АБР решений о закупках</w:t>
      </w:r>
    </w:p>
    <w:p>
      <w:pPr>
        <w:spacing w:after="0"/>
        <w:ind w:left="0"/>
        <w:jc w:val="both"/>
      </w:pPr>
      <w:r>
        <w:rPr>
          <w:rFonts w:ascii="Times New Roman"/>
          <w:b w:val="false"/>
          <w:i w:val="false"/>
          <w:color w:val="000000"/>
          <w:sz w:val="28"/>
        </w:rPr>
        <w:t>      10. Все контракты, закупленные в рамках процедур международных конкурсных торгов, и контракты на оказание консультационных услуг подлежат предварительному рассмотрению АБР, если иное не согласовано МТК и АБР и не указано в Плане закупок.</w:t>
      </w:r>
    </w:p>
    <w:p>
      <w:pPr>
        <w:spacing w:after="0"/>
        <w:ind w:left="0"/>
        <w:jc w:val="left"/>
      </w:pPr>
      <w:r>
        <w:rPr>
          <w:rFonts w:ascii="Times New Roman"/>
          <w:b/>
          <w:i w:val="false"/>
          <w:color w:val="000000"/>
        </w:rPr>
        <w:t xml:space="preserve"> ПРИЛОЖЕНИЕ 5</w:t>
      </w:r>
      <w:r>
        <w:br/>
      </w:r>
      <w:r>
        <w:rPr>
          <w:rFonts w:ascii="Times New Roman"/>
          <w:b/>
          <w:i w:val="false"/>
          <w:color w:val="000000"/>
        </w:rPr>
        <w:t>
Исполнение Проекта и эксплуатация Проектных объектов;</w:t>
      </w:r>
      <w:r>
        <w:br/>
      </w:r>
      <w:r>
        <w:rPr>
          <w:rFonts w:ascii="Times New Roman"/>
          <w:b/>
          <w:i w:val="false"/>
          <w:color w:val="000000"/>
        </w:rPr>
        <w:t>
Финансовые вопросы</w:t>
      </w:r>
    </w:p>
    <w:p>
      <w:pPr>
        <w:spacing w:after="0"/>
        <w:ind w:left="0"/>
        <w:jc w:val="both"/>
      </w:pPr>
      <w:r>
        <w:rPr>
          <w:rFonts w:ascii="Times New Roman"/>
          <w:b w:val="false"/>
          <w:i w:val="false"/>
          <w:color w:val="000000"/>
          <w:sz w:val="28"/>
          <w:u w:val="single"/>
        </w:rPr>
        <w:t>Порядок реализации</w:t>
      </w:r>
    </w:p>
    <w:p>
      <w:pPr>
        <w:spacing w:after="0"/>
        <w:ind w:left="0"/>
        <w:jc w:val="both"/>
      </w:pPr>
      <w:r>
        <w:rPr>
          <w:rFonts w:ascii="Times New Roman"/>
          <w:b w:val="false"/>
          <w:i w:val="false"/>
          <w:color w:val="000000"/>
          <w:sz w:val="28"/>
        </w:rPr>
        <w:t>      1. Заемщик обязуется обеспечить реализацию Проекта в соответствии с подробными мероприятиями установленными в РАМ. Любые изменения в РАМ должны вступать в силу после согласования такого изменения Заемщиком с АБР. В случае любого несоответствия между РАМ и настоящим Соглашением о Займе, положения Соглашения о Займе имеют превалирующую силу.</w:t>
      </w:r>
    </w:p>
    <w:p>
      <w:pPr>
        <w:spacing w:after="0"/>
        <w:ind w:left="0"/>
        <w:jc w:val="both"/>
      </w:pPr>
      <w:r>
        <w:rPr>
          <w:rFonts w:ascii="Times New Roman"/>
          <w:b w:val="false"/>
          <w:i w:val="false"/>
          <w:color w:val="000000"/>
          <w:sz w:val="28"/>
          <w:u w:val="single"/>
        </w:rPr>
        <w:t>Окружающая среда</w:t>
      </w:r>
    </w:p>
    <w:p>
      <w:pPr>
        <w:spacing w:after="0"/>
        <w:ind w:left="0"/>
        <w:jc w:val="both"/>
      </w:pPr>
      <w:r>
        <w:rPr>
          <w:rFonts w:ascii="Times New Roman"/>
          <w:b w:val="false"/>
          <w:i w:val="false"/>
          <w:color w:val="000000"/>
          <w:sz w:val="28"/>
        </w:rPr>
        <w:t>      2. Заемщик обязуется обеспечить, чтобы подготовка, проектирование, строительство, реализация, эксплуатация и вывод с эксплуатации Проекта и проектных объектов производились в соответствии с:</w:t>
      </w:r>
      <w:r>
        <w:br/>
      </w:r>
      <w:r>
        <w:rPr>
          <w:rFonts w:ascii="Times New Roman"/>
          <w:b w:val="false"/>
          <w:i w:val="false"/>
          <w:color w:val="000000"/>
          <w:sz w:val="28"/>
        </w:rPr>
        <w:t>
      (a) соответствующими национальными законами и положениями;</w:t>
      </w:r>
      <w:r>
        <w:br/>
      </w:r>
      <w:r>
        <w:rPr>
          <w:rFonts w:ascii="Times New Roman"/>
          <w:b w:val="false"/>
          <w:i w:val="false"/>
          <w:color w:val="000000"/>
          <w:sz w:val="28"/>
        </w:rPr>
        <w:t>
      (b) Политикой охранных мероприятий АБР (2009), а также</w:t>
      </w:r>
      <w:r>
        <w:br/>
      </w:r>
      <w:r>
        <w:rPr>
          <w:rFonts w:ascii="Times New Roman"/>
          <w:b w:val="false"/>
          <w:i w:val="false"/>
          <w:color w:val="000000"/>
          <w:sz w:val="28"/>
        </w:rPr>
        <w:t>
      (c) КЭОО, ПЭО, и ПООС и всеми экологическими мерами по минимизации воздействия на окружающую среду, как указано в ПООС.</w:t>
      </w:r>
      <w:r>
        <w:br/>
      </w:r>
      <w:r>
        <w:rPr>
          <w:rFonts w:ascii="Times New Roman"/>
          <w:b w:val="false"/>
          <w:i w:val="false"/>
          <w:color w:val="000000"/>
          <w:sz w:val="28"/>
        </w:rPr>
        <w:t>
      3. Заемщик обязуется убедиться в том, что:</w:t>
      </w:r>
      <w:r>
        <w:br/>
      </w:r>
      <w:r>
        <w:rPr>
          <w:rFonts w:ascii="Times New Roman"/>
          <w:b w:val="false"/>
          <w:i w:val="false"/>
          <w:color w:val="000000"/>
          <w:sz w:val="28"/>
        </w:rPr>
        <w:t>
      (a) соответствующее финансирование и человеческие ресурсы предоставлены для исполнения, мониторинга и отчетности выполнения ПООС;</w:t>
      </w:r>
      <w:r>
        <w:br/>
      </w:r>
      <w:r>
        <w:rPr>
          <w:rFonts w:ascii="Times New Roman"/>
          <w:b w:val="false"/>
          <w:i w:val="false"/>
          <w:color w:val="000000"/>
          <w:sz w:val="28"/>
        </w:rPr>
        <w:t>
      (b) полугодовые экологические отчеты подготовлены и предоставлены в АБР в течение 3 месяцев после каждого периода, по которому составляется отчет;</w:t>
      </w:r>
      <w:r>
        <w:br/>
      </w:r>
      <w:r>
        <w:rPr>
          <w:rFonts w:ascii="Times New Roman"/>
          <w:b w:val="false"/>
          <w:i w:val="false"/>
          <w:color w:val="000000"/>
          <w:sz w:val="28"/>
        </w:rPr>
        <w:t>
      (c) соответствующая информация из таких отчетов предоставляется для соответствующих лиц, а также</w:t>
      </w:r>
      <w:r>
        <w:br/>
      </w:r>
      <w:r>
        <w:rPr>
          <w:rFonts w:ascii="Times New Roman"/>
          <w:b w:val="false"/>
          <w:i w:val="false"/>
          <w:color w:val="000000"/>
          <w:sz w:val="28"/>
        </w:rPr>
        <w:t>
      (d) установлены эффективные механизмы рассмотрения жалоб, приемлемых для АБР, для своевременного рассмотрения и принятия мер для решения беспокойства, жалоб и претензий пострадавших.</w:t>
      </w:r>
      <w:r>
        <w:br/>
      </w:r>
      <w:r>
        <w:rPr>
          <w:rFonts w:ascii="Times New Roman"/>
          <w:b w:val="false"/>
          <w:i w:val="false"/>
          <w:color w:val="000000"/>
          <w:sz w:val="28"/>
        </w:rPr>
        <w:t>
      4. МТК обязуется убедиться, что все тендерные документы и контракты на выполнение работ содержат положения, которые требуют, чтобы подрядчик:</w:t>
      </w:r>
      <w:r>
        <w:br/>
      </w:r>
      <w:r>
        <w:rPr>
          <w:rFonts w:ascii="Times New Roman"/>
          <w:b w:val="false"/>
          <w:i w:val="false"/>
          <w:color w:val="000000"/>
          <w:sz w:val="28"/>
        </w:rPr>
        <w:t>
      (а) соблюдал соответствующие экологические меры в соответствии с ПЭО, с обновленными положениями ПЭО, ПООС, и любыми другими корректирующими или превентивными мерами, изложенными в отчете по мониторингу;</w:t>
      </w:r>
      <w:r>
        <w:br/>
      </w:r>
      <w:r>
        <w:rPr>
          <w:rFonts w:ascii="Times New Roman"/>
          <w:b w:val="false"/>
          <w:i w:val="false"/>
          <w:color w:val="000000"/>
          <w:sz w:val="28"/>
        </w:rPr>
        <w:t>
      (b) обеспечил финансирование таких экологических мер;</w:t>
      </w:r>
      <w:r>
        <w:br/>
      </w:r>
      <w:r>
        <w:rPr>
          <w:rFonts w:ascii="Times New Roman"/>
          <w:b w:val="false"/>
          <w:i w:val="false"/>
          <w:color w:val="000000"/>
          <w:sz w:val="28"/>
        </w:rPr>
        <w:t>
      (c) предоставил Заемщику, с копией в АБР, письменное уведомление о любых ожидаемых экологических рисках или воздействии на окружающую среду, которые могут возникнуть при строительстве или реализации Проекта, и которые не были предусмотрены в ПЭО и ПООС;</w:t>
      </w:r>
      <w:r>
        <w:br/>
      </w:r>
      <w:r>
        <w:rPr>
          <w:rFonts w:ascii="Times New Roman"/>
          <w:b w:val="false"/>
          <w:i w:val="false"/>
          <w:color w:val="000000"/>
          <w:sz w:val="28"/>
        </w:rPr>
        <w:t>
      (d) обеспечил надлежащий учет состояния дорог, сельскохозяйственных угодий и других объектов инфраструктуры до начала перевозки материалов и строительства; а также по завершению строительства полностью восстановил пути, другие объекты местной инфраструктуры и сельскохозяйственных угодий, по крайней мере до состояния, в котором эти объекты находились до начала строительства Проекта.</w:t>
      </w:r>
    </w:p>
    <w:p>
      <w:pPr>
        <w:spacing w:after="0"/>
        <w:ind w:left="0"/>
        <w:jc w:val="both"/>
      </w:pPr>
      <w:r>
        <w:rPr>
          <w:rFonts w:ascii="Times New Roman"/>
          <w:b w:val="false"/>
          <w:i w:val="false"/>
          <w:color w:val="000000"/>
          <w:sz w:val="28"/>
          <w:u w:val="single"/>
        </w:rPr>
        <w:t>Переселение</w:t>
      </w:r>
    </w:p>
    <w:p>
      <w:pPr>
        <w:spacing w:after="0"/>
        <w:ind w:left="0"/>
        <w:jc w:val="both"/>
      </w:pPr>
      <w:r>
        <w:rPr>
          <w:rFonts w:ascii="Times New Roman"/>
          <w:b w:val="false"/>
          <w:i w:val="false"/>
          <w:color w:val="000000"/>
          <w:sz w:val="28"/>
        </w:rPr>
        <w:t>      5. Заемщик обязуется убедиться, что Проект исполняется в соответствии с:</w:t>
      </w:r>
      <w:r>
        <w:br/>
      </w:r>
      <w:r>
        <w:rPr>
          <w:rFonts w:ascii="Times New Roman"/>
          <w:b w:val="false"/>
          <w:i w:val="false"/>
          <w:color w:val="000000"/>
          <w:sz w:val="28"/>
        </w:rPr>
        <w:t>
      (a) всеми соответствующими законами и положениями Заемщика, связанных с выкупом земельных участков и недобровольным переселением жителей;</w:t>
      </w:r>
      <w:r>
        <w:br/>
      </w:r>
      <w:r>
        <w:rPr>
          <w:rFonts w:ascii="Times New Roman"/>
          <w:b w:val="false"/>
          <w:i w:val="false"/>
          <w:color w:val="000000"/>
          <w:sz w:val="28"/>
        </w:rPr>
        <w:t>
      (b) Политикой охранных мероприятий АБР (2009);</w:t>
      </w:r>
      <w:r>
        <w:br/>
      </w:r>
      <w:r>
        <w:rPr>
          <w:rFonts w:ascii="Times New Roman"/>
          <w:b w:val="false"/>
          <w:i w:val="false"/>
          <w:color w:val="000000"/>
          <w:sz w:val="28"/>
        </w:rPr>
        <w:t>
      (c) ОВЗП и ПВЗП, в частности, включая следующие положения:</w:t>
      </w:r>
      <w:r>
        <w:br/>
      </w:r>
      <w:r>
        <w:rPr>
          <w:rFonts w:ascii="Times New Roman"/>
          <w:b w:val="false"/>
          <w:i w:val="false"/>
          <w:color w:val="000000"/>
          <w:sz w:val="28"/>
        </w:rPr>
        <w:t>
      (a) все земельные участки и права на прокладку дорог, необходимые для работ подрядчика, необходимо приобрести своевременно;</w:t>
      </w:r>
      <w:r>
        <w:br/>
      </w:r>
      <w:r>
        <w:rPr>
          <w:rFonts w:ascii="Times New Roman"/>
          <w:b w:val="false"/>
          <w:i w:val="false"/>
          <w:color w:val="000000"/>
          <w:sz w:val="28"/>
        </w:rPr>
        <w:t>
      (b) не должно произойти никаких физических или экономических перемещений до того, как (i) будет окончательно разработан ПВЗП; а также (ii) будет полностью оплачена компенсация за переезд каждому перемещенному лицу вместе с компенсацией оговоренной в ПВЗП, для соответствующих участков дорог, готовых к строительству;</w:t>
      </w:r>
      <w:r>
        <w:br/>
      </w:r>
      <w:r>
        <w:rPr>
          <w:rFonts w:ascii="Times New Roman"/>
          <w:b w:val="false"/>
          <w:i w:val="false"/>
          <w:color w:val="000000"/>
          <w:sz w:val="28"/>
        </w:rPr>
        <w:t>
      c) не должны быть начаты никакие работы до тех пор, пока ПВЗП не будет согласован с АБР, и никакие работы не должны быть начаты, пока окончательный вариант ПВЗП не реализован в соответствии с его условиями;</w:t>
      </w:r>
      <w:r>
        <w:br/>
      </w:r>
      <w:r>
        <w:rPr>
          <w:rFonts w:ascii="Times New Roman"/>
          <w:b w:val="false"/>
          <w:i w:val="false"/>
          <w:color w:val="000000"/>
          <w:sz w:val="28"/>
        </w:rPr>
        <w:t>
      d) должны быть установлены эффективные механизмы разрешения жалоб, приемлемые для АБР, для своевременного рассмотрения и принятия мер для решения беспокойства, жалоб и претензий в целях помочь затронутым лицам.</w:t>
      </w:r>
      <w:r>
        <w:br/>
      </w:r>
      <w:r>
        <w:rPr>
          <w:rFonts w:ascii="Times New Roman"/>
          <w:b w:val="false"/>
          <w:i w:val="false"/>
          <w:color w:val="000000"/>
          <w:sz w:val="28"/>
        </w:rPr>
        <w:t>
      (e) должно быть предоставлено соответствующее финансирование и человеческие ресурсы в рамках бюджета на Консультационные услуги для реализации, мониторинга и учета исполнения работ по ПВЗП;</w:t>
      </w:r>
      <w:r>
        <w:br/>
      </w:r>
      <w:r>
        <w:rPr>
          <w:rFonts w:ascii="Times New Roman"/>
          <w:b w:val="false"/>
          <w:i w:val="false"/>
          <w:color w:val="000000"/>
          <w:sz w:val="28"/>
        </w:rPr>
        <w:t>
      (f) эксперты по независимому мониторингу, приемлемые для АБР, должны быть привлечены в течение 3 месяцев со дня вступления Займа в силу, для проведения мониторинга и оценки ПВЗП и предоставления результатов в АБР на полугодичной основе;</w:t>
      </w:r>
      <w:r>
        <w:br/>
      </w:r>
      <w:r>
        <w:rPr>
          <w:rFonts w:ascii="Times New Roman"/>
          <w:b w:val="false"/>
          <w:i w:val="false"/>
          <w:color w:val="000000"/>
          <w:sz w:val="28"/>
        </w:rPr>
        <w:t>
      (g) если в период исполнения ПВЗП производятся любые изменения местности, разбивка дорог либо дополнительные воздействия на окружающую среду и переселение, необходимо внести необходимые дополнения в ПВЗП и получить одобрение всех соответствующих правительственных органов до последующей реализации</w:t>
      </w:r>
    </w:p>
    <w:p>
      <w:pPr>
        <w:spacing w:after="0"/>
        <w:ind w:left="0"/>
        <w:jc w:val="both"/>
      </w:pPr>
      <w:r>
        <w:rPr>
          <w:rFonts w:ascii="Times New Roman"/>
          <w:b w:val="false"/>
          <w:i w:val="false"/>
          <w:color w:val="000000"/>
          <w:sz w:val="28"/>
          <w:u w:val="single"/>
        </w:rPr>
        <w:t>Стандарты труда и здравоохранение</w:t>
      </w:r>
    </w:p>
    <w:p>
      <w:pPr>
        <w:spacing w:after="0"/>
        <w:ind w:left="0"/>
        <w:jc w:val="both"/>
      </w:pPr>
      <w:r>
        <w:rPr>
          <w:rFonts w:ascii="Times New Roman"/>
          <w:b w:val="false"/>
          <w:i w:val="false"/>
          <w:color w:val="000000"/>
          <w:sz w:val="28"/>
        </w:rPr>
        <w:t>      6. МТК обязуется убедиться, что все контракты на выполнение работ содержат особые положения о том, что подрядчики строительных работ:</w:t>
      </w:r>
      <w:r>
        <w:br/>
      </w:r>
      <w:r>
        <w:rPr>
          <w:rFonts w:ascii="Times New Roman"/>
          <w:b w:val="false"/>
          <w:i w:val="false"/>
          <w:color w:val="000000"/>
          <w:sz w:val="28"/>
        </w:rPr>
        <w:t>
      (a) соблюдают все соответствующие Кодексы о труде и трудовое законодательство Заемщика;</w:t>
      </w:r>
      <w:r>
        <w:br/>
      </w:r>
      <w:r>
        <w:rPr>
          <w:rFonts w:ascii="Times New Roman"/>
          <w:b w:val="false"/>
          <w:i w:val="false"/>
          <w:color w:val="000000"/>
          <w:sz w:val="28"/>
        </w:rPr>
        <w:t>
      (b) по мере возможности вовлекают в трудоустройство женщин и местное население, включая неблагополучное население, живущих вблизи строительства Проекта;</w:t>
      </w:r>
      <w:r>
        <w:br/>
      </w:r>
      <w:r>
        <w:rPr>
          <w:rFonts w:ascii="Times New Roman"/>
          <w:b w:val="false"/>
          <w:i w:val="false"/>
          <w:color w:val="000000"/>
          <w:sz w:val="28"/>
        </w:rPr>
        <w:t>
      (c) распространяют информацию о мерах безопасности на объекте строительства всем работающим;</w:t>
      </w:r>
      <w:r>
        <w:br/>
      </w:r>
      <w:r>
        <w:rPr>
          <w:rFonts w:ascii="Times New Roman"/>
          <w:b w:val="false"/>
          <w:i w:val="false"/>
          <w:color w:val="000000"/>
          <w:sz w:val="28"/>
        </w:rPr>
        <w:t>
      (d) предоставляют равную оплату мужчинам и женщинам за равный труд;</w:t>
      </w:r>
      <w:r>
        <w:br/>
      </w:r>
      <w:r>
        <w:rPr>
          <w:rFonts w:ascii="Times New Roman"/>
          <w:b w:val="false"/>
          <w:i w:val="false"/>
          <w:color w:val="000000"/>
          <w:sz w:val="28"/>
        </w:rPr>
        <w:t>
      (e) обеспечивают безопасные условия труда и разделяют соответствующие объекты использования мужчинами и женщинами; а также</w:t>
      </w:r>
      <w:r>
        <w:br/>
      </w:r>
      <w:r>
        <w:rPr>
          <w:rFonts w:ascii="Times New Roman"/>
          <w:b w:val="false"/>
          <w:i w:val="false"/>
          <w:color w:val="000000"/>
          <w:sz w:val="28"/>
        </w:rPr>
        <w:t>
      (f) не используют детский труд. МТК обязуется убедиться, что строго отслеживается социальное воздействие, во время всего Проекта, и предоставляется отчет по этому вопросу в АБР раз в полгода.</w:t>
      </w:r>
    </w:p>
    <w:p>
      <w:pPr>
        <w:spacing w:after="0"/>
        <w:ind w:left="0"/>
        <w:jc w:val="both"/>
      </w:pPr>
      <w:r>
        <w:rPr>
          <w:rFonts w:ascii="Times New Roman"/>
          <w:b w:val="false"/>
          <w:i w:val="false"/>
          <w:color w:val="000000"/>
          <w:sz w:val="28"/>
          <w:u w:val="single"/>
        </w:rPr>
        <w:t>Гендерные вопросы и развитие</w:t>
      </w:r>
    </w:p>
    <w:p>
      <w:pPr>
        <w:spacing w:after="0"/>
        <w:ind w:left="0"/>
        <w:jc w:val="both"/>
      </w:pPr>
      <w:r>
        <w:rPr>
          <w:rFonts w:ascii="Times New Roman"/>
          <w:b w:val="false"/>
          <w:i w:val="false"/>
          <w:color w:val="000000"/>
          <w:sz w:val="28"/>
        </w:rPr>
        <w:t>      7. Заемщик, в течение 3 месяцев со дня вступления Займа в силу, рассмотрит и подготовит окончательную версию ГПД, подготовленного для ММФ для того, чтобы обеспечить следующее, в дополнение к равной оплате труда женщин и их обеспечения работой:</w:t>
      </w:r>
      <w:r>
        <w:br/>
      </w:r>
      <w:r>
        <w:rPr>
          <w:rFonts w:ascii="Times New Roman"/>
          <w:b w:val="false"/>
          <w:i w:val="false"/>
          <w:color w:val="000000"/>
          <w:sz w:val="28"/>
        </w:rPr>
        <w:t>
      (а) информация о рисках заболеваний, распространяющихся половым путем, включая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Проектной дороге;</w:t>
      </w:r>
      <w:r>
        <w:br/>
      </w:r>
      <w:r>
        <w:rPr>
          <w:rFonts w:ascii="Times New Roman"/>
          <w:b w:val="false"/>
          <w:i w:val="false"/>
          <w:color w:val="000000"/>
          <w:sz w:val="28"/>
        </w:rPr>
        <w:t>
      (b) конкретные и строгие меры по выявлению и предотвращению торговли людьми;</w:t>
      </w:r>
      <w:r>
        <w:br/>
      </w:r>
      <w:r>
        <w:rPr>
          <w:rFonts w:ascii="Times New Roman"/>
          <w:b w:val="false"/>
          <w:i w:val="false"/>
          <w:color w:val="000000"/>
          <w:sz w:val="28"/>
        </w:rPr>
        <w:t>
      (с) женщины и мужчины одинаково информируются о Проекте и поощряются для участия в мероприятиях, связанных с выкупом земель и переселением;</w:t>
      </w:r>
      <w:r>
        <w:br/>
      </w:r>
      <w:r>
        <w:rPr>
          <w:rFonts w:ascii="Times New Roman"/>
          <w:b w:val="false"/>
          <w:i w:val="false"/>
          <w:color w:val="000000"/>
          <w:sz w:val="28"/>
        </w:rPr>
        <w:t>
      (d) женщины из семей, подлежащих перемещению, и уязвимых групп привлекаются к решению непредвиденных социальных воздействий и воздействий на окружающую среду на период реализации Проекта.</w:t>
      </w:r>
      <w:r>
        <w:br/>
      </w:r>
      <w:r>
        <w:rPr>
          <w:rFonts w:ascii="Times New Roman"/>
          <w:b w:val="false"/>
          <w:i w:val="false"/>
          <w:color w:val="000000"/>
          <w:sz w:val="28"/>
        </w:rPr>
        <w:t>
      МТК обеспечит, что ГПД был полностью своевременно реализован в течение периода реализации Проекта и достаточные ресурсы были выделены для этой цели, а также что реализация ГПД будет отражаться в процессе мониторинга, и соответствующий отчет два раза в год будет предоставляться в АБР.</w:t>
      </w:r>
    </w:p>
    <w:p>
      <w:pPr>
        <w:spacing w:after="0"/>
        <w:ind w:left="0"/>
        <w:jc w:val="both"/>
      </w:pPr>
      <w:r>
        <w:rPr>
          <w:rFonts w:ascii="Times New Roman"/>
          <w:b w:val="false"/>
          <w:i w:val="false"/>
          <w:color w:val="000000"/>
          <w:sz w:val="28"/>
          <w:u w:val="single"/>
        </w:rPr>
        <w:t>Софинансирование</w:t>
      </w:r>
    </w:p>
    <w:p>
      <w:pPr>
        <w:spacing w:after="0"/>
        <w:ind w:left="0"/>
        <w:jc w:val="both"/>
      </w:pPr>
      <w:r>
        <w:rPr>
          <w:rFonts w:ascii="Times New Roman"/>
          <w:b w:val="false"/>
          <w:i w:val="false"/>
          <w:color w:val="000000"/>
          <w:sz w:val="28"/>
        </w:rPr>
        <w:t>      8. Не ограничивая общий смысл Раздела 4.02 настоящего Соглашения о Займе, Заемщик обязуется предоставить все встречные средства, необходимые для своевременного и эффективного исполнения Проекта в виде ежегодных отчислений МТК и обязуется убедиться в том, что необходимые ресурсы предоставляются своевременно. Заемщик обязуется поручить МТК, включить обновленные требования по финансированию исполнения Проекта в его ежегодные программы развития.</w:t>
      </w:r>
    </w:p>
    <w:p>
      <w:pPr>
        <w:spacing w:after="0"/>
        <w:ind w:left="0"/>
        <w:jc w:val="both"/>
      </w:pPr>
      <w:r>
        <w:rPr>
          <w:rFonts w:ascii="Times New Roman"/>
          <w:b w:val="false"/>
          <w:i w:val="false"/>
          <w:color w:val="000000"/>
          <w:sz w:val="28"/>
          <w:u w:val="single"/>
        </w:rPr>
        <w:t>Управление и борьба с коррупцией</w:t>
      </w:r>
    </w:p>
    <w:p>
      <w:pPr>
        <w:spacing w:after="0"/>
        <w:ind w:left="0"/>
        <w:jc w:val="both"/>
      </w:pPr>
      <w:r>
        <w:rPr>
          <w:rFonts w:ascii="Times New Roman"/>
          <w:b w:val="false"/>
          <w:i w:val="false"/>
          <w:color w:val="000000"/>
          <w:sz w:val="28"/>
        </w:rPr>
        <w:t>      9. Заемщик обязуется (i) следовать Политике АБР по борьбе с коррупцией (от 1998 года, с поправками на настоящее время) и,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а также (ii) сотрудничать в полной мере и содействовать такому расследованию путем оказания необходимой поддержки для удовлетворительного завершения любого такого расследования.</w:t>
      </w:r>
      <w:r>
        <w:br/>
      </w:r>
      <w:r>
        <w:rPr>
          <w:rFonts w:ascii="Times New Roman"/>
          <w:b w:val="false"/>
          <w:i w:val="false"/>
          <w:color w:val="000000"/>
          <w:sz w:val="28"/>
        </w:rPr>
        <w:t>
      10. МТК обязуется обеспечить, чтобы все контракты и тендерные документы включали антикоррупционные положения, приемлемые для АБР, включая положения, обуславливающие право АБР проводить аудит и производить проверку всех отчетов, записей и счетов МТК и всех подрядчиков, поставщиков и консультантов, а также прочих лиц, оказывающих услуги в рамках Проекта.</w:t>
      </w:r>
    </w:p>
    <w:p>
      <w:pPr>
        <w:spacing w:after="0"/>
        <w:ind w:left="0"/>
        <w:jc w:val="both"/>
      </w:pPr>
      <w:r>
        <w:rPr>
          <w:rFonts w:ascii="Times New Roman"/>
          <w:b w:val="false"/>
          <w:i w:val="false"/>
          <w:color w:val="000000"/>
          <w:sz w:val="28"/>
          <w:u w:val="single"/>
        </w:rPr>
        <w:t>Качество строительных работ</w:t>
      </w:r>
    </w:p>
    <w:p>
      <w:pPr>
        <w:spacing w:after="0"/>
        <w:ind w:left="0"/>
        <w:jc w:val="both"/>
      </w:pPr>
      <w:r>
        <w:rPr>
          <w:rFonts w:ascii="Times New Roman"/>
          <w:b w:val="false"/>
          <w:i w:val="false"/>
          <w:color w:val="000000"/>
          <w:sz w:val="28"/>
        </w:rPr>
        <w:t>      11. МТК обязуется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p>
      <w:pPr>
        <w:spacing w:after="0"/>
        <w:ind w:left="0"/>
        <w:jc w:val="both"/>
      </w:pPr>
      <w:r>
        <w:rPr>
          <w:rFonts w:ascii="Times New Roman"/>
          <w:b w:val="false"/>
          <w:i w:val="false"/>
          <w:color w:val="000000"/>
          <w:sz w:val="28"/>
          <w:u w:val="single"/>
        </w:rPr>
        <w:t>Обеспечение безопасности дорожного движения</w:t>
      </w:r>
    </w:p>
    <w:p>
      <w:pPr>
        <w:spacing w:after="0"/>
        <w:ind w:left="0"/>
        <w:jc w:val="both"/>
      </w:pPr>
      <w:r>
        <w:rPr>
          <w:rFonts w:ascii="Times New Roman"/>
          <w:b w:val="false"/>
          <w:i w:val="false"/>
          <w:color w:val="000000"/>
          <w:sz w:val="28"/>
        </w:rPr>
        <w:t>      12. МТК обязуется:</w:t>
      </w:r>
      <w:r>
        <w:br/>
      </w:r>
      <w:r>
        <w:rPr>
          <w:rFonts w:ascii="Times New Roman"/>
          <w:b w:val="false"/>
          <w:i w:val="false"/>
          <w:color w:val="000000"/>
          <w:sz w:val="28"/>
        </w:rPr>
        <w:t>
      (a) убедиться в том, что все контракты на строительные работы включают в себя обязательство подрядчика выполнять меры по обеспечению безопасности дорожного движения; и</w:t>
      </w:r>
      <w:r>
        <w:br/>
      </w:r>
      <w:r>
        <w:rPr>
          <w:rFonts w:ascii="Times New Roman"/>
          <w:b w:val="false"/>
          <w:i w:val="false"/>
          <w:color w:val="000000"/>
          <w:sz w:val="28"/>
        </w:rPr>
        <w:t>
      (b) осуществлять мониторинг уровня аварийности и интенсивности  движения в течение эксплуатации Проектной дороги.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