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7454" w14:textId="fdf7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(КАЗСТАТ: Проект по укреплению национальной статистической системы)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15 июля 2011 года № 801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Соглашения о займе (КАЗСТАТ: Проект по укреплению национальной статистической системы) между Республикой Казахстан и Международным Банком Реконструкции и Развития".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 Президента Республики Казахстан О подписании Соглашения о займе (КАЗСТАТ: Проект по укреплению</w:t>
      </w:r>
      <w:r>
        <w:br/>
      </w:r>
      <w:r>
        <w:rPr>
          <w:rFonts w:ascii="Times New Roman"/>
          <w:b/>
          <w:i w:val="false"/>
          <w:color w:val="000000"/>
        </w:rPr>
        <w:t>
национальной статистической системы) между Республикой</w:t>
      </w:r>
      <w:r>
        <w:br/>
      </w:r>
      <w:r>
        <w:rPr>
          <w:rFonts w:ascii="Times New Roman"/>
          <w:b/>
          <w:i w:val="false"/>
          <w:color w:val="000000"/>
        </w:rPr>
        <w:t>
Казахстан и Международным Банком Реконструкции и Развития</w:t>
      </w:r>
    </w:p>
    <w:p>
      <w:pPr>
        <w:spacing w:after="0"/>
        <w:ind w:left="0"/>
        <w:jc w:val="both"/>
      </w:pPr>
      <w:r>
        <w:rPr>
          <w:rFonts w:ascii="Times New Roman"/>
          <w:b w:val="false"/>
          <w:i w:val="false"/>
          <w:color w:val="000000"/>
          <w:sz w:val="28"/>
        </w:rPr>
        <w:t xml:space="preserve">      В соответствии со статьей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Соглашения о займе (КАЗСТАТ: Проект по укреплению национальной статистической системы) между Республикой Казахстан и Международным Банком Реконструкции и Развития.</w:t>
      </w:r>
      <w:r>
        <w:br/>
      </w:r>
      <w:r>
        <w:rPr>
          <w:rFonts w:ascii="Times New Roman"/>
          <w:b w:val="false"/>
          <w:i w:val="false"/>
          <w:color w:val="000000"/>
          <w:sz w:val="28"/>
        </w:rPr>
        <w:t>
      2. Уполномочить Министра финансов Республики Казахстан Жамишева Болата Бидахметовича подписать от имени Республики Казахстан Соглашение о займе (КАЗСТАТ: Проект по укреплению национальной статистической системы) между Республикой Казахстан и Международным Банком Реконструкции и Развития.</w:t>
      </w:r>
      <w:r>
        <w:br/>
      </w:r>
      <w:r>
        <w:rPr>
          <w:rFonts w:ascii="Times New Roman"/>
          <w:b w:val="false"/>
          <w:i w:val="false"/>
          <w:color w:val="000000"/>
          <w:sz w:val="28"/>
        </w:rPr>
        <w:t>
      3.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"__" _____ 2011 года №__</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 (КАЗСТАТ: Проект по укреплению</w:t>
      </w:r>
      <w:r>
        <w:br/>
      </w:r>
      <w:r>
        <w:rPr>
          <w:rFonts w:ascii="Times New Roman"/>
          <w:b/>
          <w:i w:val="false"/>
          <w:color w:val="000000"/>
        </w:rPr>
        <w:t>
национальной статистической системы) между</w:t>
      </w:r>
      <w:r>
        <w:br/>
      </w:r>
      <w:r>
        <w:rPr>
          <w:rFonts w:ascii="Times New Roman"/>
          <w:b/>
          <w:i w:val="false"/>
          <w:color w:val="000000"/>
        </w:rPr>
        <w:t>
РЕСПУБЛИКОЙ КАЗАХСТАН и МЕЖДУНАРОДНЫМ БАНКОМ</w:t>
      </w:r>
      <w:r>
        <w:br/>
      </w:r>
      <w:r>
        <w:rPr>
          <w:rFonts w:ascii="Times New Roman"/>
          <w:b/>
          <w:i w:val="false"/>
          <w:color w:val="000000"/>
        </w:rPr>
        <w:t>
РЕКОНСТРУКЦИИ И РАЗВИТИЯ</w:t>
      </w:r>
    </w:p>
    <w:p>
      <w:pPr>
        <w:spacing w:after="0"/>
        <w:ind w:left="0"/>
        <w:jc w:val="both"/>
      </w:pPr>
      <w:r>
        <w:rPr>
          <w:rFonts w:ascii="Times New Roman"/>
          <w:b w:val="false"/>
          <w:i w:val="false"/>
          <w:color w:val="000000"/>
          <w:sz w:val="28"/>
        </w:rPr>
        <w:t>      Соглашение от ____________, 201_, между РЕСПУБЛИКОЙ КАЗАХСТАН (Заемщик) и МЕЖДУНАРОДНЫМ БАНКОМ РЕКОНСТРУКЦИИ И РАЗВИТИЯ (Банк). Настоящим Заемщик и Банк договариваются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1.02. Если из контекста не следует иного, термины, начинающиеся с заглавных букв, используемые в Соглашении имеют значения, закрепленные за ними в Общих условиях или в Дополнении к настоящему Соглашению.</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предоставляет Заемщику сумму в двадцать миллионов долларов США ($20,000,000) (Заем) на срок и условиях, изложенных или указанных в настоящем Соглашении, для поддержки финансирования Проекта, описанного в Приложении 1 к настоящему Соглашению (Проект).</w:t>
      </w:r>
      <w:r>
        <w:br/>
      </w:r>
      <w:r>
        <w:rPr>
          <w:rFonts w:ascii="Times New Roman"/>
          <w:b w:val="false"/>
          <w:i w:val="false"/>
          <w:color w:val="000000"/>
          <w:sz w:val="28"/>
        </w:rPr>
        <w:t>
      2.02. Заемщик вправе снимать средства Займа в соответствии с Разделом IV Приложения 2 к настоящему Соглашению.</w:t>
      </w:r>
      <w:r>
        <w:br/>
      </w:r>
      <w:r>
        <w:rPr>
          <w:rFonts w:ascii="Times New Roman"/>
          <w:b w:val="false"/>
          <w:i w:val="false"/>
          <w:color w:val="000000"/>
          <w:sz w:val="28"/>
        </w:rPr>
        <w:t>
      2.03. Заемщик уплачивает Банку комиссию за резервирование средств Займа, равную четверти одного процента (0.25%) от суммы Займа.</w:t>
      </w:r>
      <w:r>
        <w:br/>
      </w:r>
      <w:r>
        <w:rPr>
          <w:rFonts w:ascii="Times New Roman"/>
          <w:b w:val="false"/>
          <w:i w:val="false"/>
          <w:color w:val="000000"/>
          <w:sz w:val="28"/>
        </w:rPr>
        <w:t>
      2.04. Заемщик уплачивает вознаграждение в течение каждого Процентного периода по ставке, равной референтной ставке для Валюты Займа плюс Плавающий спрэд; при условии, что при Конверсии всей или любой части основной суммы Займа вознаграждение, подлежащее выплате Заемщиком во время Периода Конверсии на такую сумму, должно быть определено в соответствии с условиями Статьи IV Общих условий. Несмотря на вышесказанное, в случае, если любая из частей суммы снятых средств Займа остается неуплаченной своевременно, и не выплачивается в течение тридцати дней, то размер вознаграждения, подлежащего выплате Заемщиком должен рассчитываться в соответствии с положениями Раздела 3.02 (е) Общих положений.</w:t>
      </w:r>
      <w:r>
        <w:br/>
      </w:r>
      <w:r>
        <w:rPr>
          <w:rFonts w:ascii="Times New Roman"/>
          <w:b w:val="false"/>
          <w:i w:val="false"/>
          <w:color w:val="000000"/>
          <w:sz w:val="28"/>
        </w:rPr>
        <w:t>
      2.05. Даты Платежей: 15 апреля и 15 октября каждого года.</w:t>
      </w:r>
      <w:r>
        <w:br/>
      </w:r>
      <w:r>
        <w:rPr>
          <w:rFonts w:ascii="Times New Roman"/>
          <w:b w:val="false"/>
          <w:i w:val="false"/>
          <w:color w:val="000000"/>
          <w:sz w:val="28"/>
        </w:rPr>
        <w:t>
      2.06. Заемщик погашает основную сумму Займа в соответствии с графиком погашения в Приложении 3 к настоящему Соглашению.</w:t>
      </w:r>
      <w:r>
        <w:br/>
      </w:r>
      <w:r>
        <w:rPr>
          <w:rFonts w:ascii="Times New Roman"/>
          <w:b w:val="false"/>
          <w:i w:val="false"/>
          <w:color w:val="000000"/>
          <w:sz w:val="28"/>
        </w:rPr>
        <w:t>
      2.07. (a) Заемщик может в любое время запросить любую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применяемого ко всей или любой части снятой и непогашенной основной суммы Займа, с Плавающей процентной ставки на Фиксированную процентную ставку, и наоборот, или Плавающей процентной ставки основанной на плавающем спрэде на Плавающую процентную ставку, основанную на фиксированном спрэде, и (iii) определение пределов Плавающей процентной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Верхнего и Нижнего Пределов Процентной Ставки Плавающей ставки.</w:t>
      </w:r>
      <w:r>
        <w:br/>
      </w:r>
      <w:r>
        <w:rPr>
          <w:rFonts w:ascii="Times New Roman"/>
          <w:b w:val="false"/>
          <w:i w:val="false"/>
          <w:color w:val="000000"/>
          <w:sz w:val="28"/>
        </w:rPr>
        <w:t>
      (b) Любое изменение, запрошенное в соответствии с подпунктом (a) настоящего пункта,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реализует Проект через Агентство Республики Казахстан по статистике в соответствии с положениями Статьи V Общих условий.</w:t>
      </w:r>
      <w:r>
        <w:br/>
      </w:r>
      <w:r>
        <w:rPr>
          <w:rFonts w:ascii="Times New Roman"/>
          <w:b w:val="false"/>
          <w:i w:val="false"/>
          <w:color w:val="000000"/>
          <w:sz w:val="28"/>
        </w:rPr>
        <w:t>
      3.02. Без ограничения для положений пункта 3.01 настоящего Соглашения и, если иное не согласовано между Заемщиком и Банком, Заемщик обеспечивает реализацию Проекта в соответствии с Приложением 2 к настоящему Соглашению.</w:t>
      </w:r>
    </w:p>
    <w:p>
      <w:pPr>
        <w:spacing w:after="0"/>
        <w:ind w:left="0"/>
        <w:jc w:val="left"/>
      </w:pPr>
      <w:r>
        <w:rPr>
          <w:rFonts w:ascii="Times New Roman"/>
          <w:b/>
          <w:i w:val="false"/>
          <w:color w:val="000000"/>
        </w:rPr>
        <w:t xml:space="preserve"> СТАТЬЯ IV - ВСТУПЛЕНИЕ ЗАЙМА В СИЛУ; РАСТОРЖЕНИЕ</w:t>
      </w:r>
    </w:p>
    <w:p>
      <w:pPr>
        <w:spacing w:after="0"/>
        <w:ind w:left="0"/>
        <w:jc w:val="both"/>
      </w:pPr>
      <w:r>
        <w:rPr>
          <w:rFonts w:ascii="Times New Roman"/>
          <w:b w:val="false"/>
          <w:i w:val="false"/>
          <w:color w:val="000000"/>
          <w:sz w:val="28"/>
        </w:rPr>
        <w:t>      4.01. Дополнительные условия вступления в силу заключаются в следующем:</w:t>
      </w:r>
      <w:r>
        <w:br/>
      </w:r>
      <w:r>
        <w:rPr>
          <w:rFonts w:ascii="Times New Roman"/>
          <w:b w:val="false"/>
          <w:i w:val="false"/>
          <w:color w:val="000000"/>
          <w:sz w:val="28"/>
        </w:rPr>
        <w:t>
      (a) ГРП создана Заемщиком через АРКС, состав, ресурсы и технические задания которой являются приемлемыми для Банка.</w:t>
      </w:r>
      <w:r>
        <w:br/>
      </w:r>
      <w:r>
        <w:rPr>
          <w:rFonts w:ascii="Times New Roman"/>
          <w:b w:val="false"/>
          <w:i w:val="false"/>
          <w:color w:val="000000"/>
          <w:sz w:val="28"/>
        </w:rPr>
        <w:t>
      (b) КРГ создана Заемщиком, состав, ресурсы и технические задания которой являются приемлемыми для Банка.</w:t>
      </w:r>
      <w:r>
        <w:br/>
      </w:r>
      <w:r>
        <w:rPr>
          <w:rFonts w:ascii="Times New Roman"/>
          <w:b w:val="false"/>
          <w:i w:val="false"/>
          <w:color w:val="000000"/>
          <w:sz w:val="28"/>
        </w:rPr>
        <w:t>
      (с) Заемщиком принято Руководство по реализации Проекта, удовлетворительное для Банка.</w:t>
      </w:r>
      <w:r>
        <w:br/>
      </w:r>
      <w:r>
        <w:rPr>
          <w:rFonts w:ascii="Times New Roman"/>
          <w:b w:val="false"/>
          <w:i w:val="false"/>
          <w:color w:val="000000"/>
          <w:sz w:val="28"/>
        </w:rPr>
        <w:t>
      4.02. Последним сроком вступления в силу является дата, наступающая по истечении 180 (ста восьмидесяти) дней после даты настоящего Соглашения.</w:t>
      </w:r>
    </w:p>
    <w:p>
      <w:pPr>
        <w:spacing w:after="0"/>
        <w:ind w:left="0"/>
        <w:jc w:val="left"/>
      </w:pPr>
      <w:r>
        <w:rPr>
          <w:rFonts w:ascii="Times New Roman"/>
          <w:b/>
          <w:i w:val="false"/>
          <w:color w:val="000000"/>
        </w:rPr>
        <w:t xml:space="preserve"> СТАТЬЯ V - ПРЕДСТАВИТЕЛЬ ЗАЕМЩИКА; АДРЕСА</w:t>
      </w:r>
    </w:p>
    <w:p>
      <w:pPr>
        <w:spacing w:after="0"/>
        <w:ind w:left="0"/>
        <w:jc w:val="both"/>
      </w:pPr>
      <w:r>
        <w:rPr>
          <w:rFonts w:ascii="Times New Roman"/>
          <w:b w:val="false"/>
          <w:i w:val="false"/>
          <w:color w:val="000000"/>
          <w:sz w:val="28"/>
        </w:rPr>
        <w:t>      5.01. Представителем заемщика является Министр финансов.</w:t>
      </w:r>
      <w:r>
        <w:br/>
      </w:r>
      <w:r>
        <w:rPr>
          <w:rFonts w:ascii="Times New Roman"/>
          <w:b w:val="false"/>
          <w:i w:val="false"/>
          <w:color w:val="000000"/>
          <w:sz w:val="28"/>
        </w:rPr>
        <w:t>
      5.02. Адрес 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7- 7172-717785</w:t>
      </w:r>
    </w:p>
    <w:p>
      <w:pPr>
        <w:spacing w:after="0"/>
        <w:ind w:left="0"/>
        <w:jc w:val="both"/>
      </w:pPr>
      <w:r>
        <w:rPr>
          <w:rFonts w:ascii="Times New Roman"/>
          <w:b w:val="false"/>
          <w:i w:val="false"/>
          <w:color w:val="000000"/>
          <w:sz w:val="28"/>
        </w:rPr>
        <w:t>      5.03. Адрес Банка:</w:t>
      </w:r>
    </w:p>
    <w:p>
      <w:pPr>
        <w:spacing w:after="0"/>
        <w:ind w:left="0"/>
        <w:jc w:val="both"/>
      </w:pP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248423(MCI) or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_____________, __________, в день и год, указанные выше.</w:t>
      </w:r>
    </w:p>
    <w:p>
      <w:pPr>
        <w:spacing w:after="0"/>
        <w:ind w:left="0"/>
        <w:jc w:val="left"/>
      </w:pPr>
      <w:r>
        <w:rPr>
          <w:rFonts w:ascii="Times New Roman"/>
          <w:b/>
          <w:i w:val="false"/>
          <w:color w:val="000000"/>
        </w:rPr>
        <w:t xml:space="preserve"> ЗА РЕСПУБЛИКУ КАЗАХСТАН</w:t>
      </w:r>
    </w:p>
    <w:p>
      <w:pPr>
        <w:spacing w:after="0"/>
        <w:ind w:left="0"/>
        <w:jc w:val="both"/>
      </w:pPr>
      <w:r>
        <w:rPr>
          <w:rFonts w:ascii="Times New Roman"/>
          <w:b w:val="false"/>
          <w:i w:val="false"/>
          <w:color w:val="000000"/>
          <w:sz w:val="28"/>
        </w:rPr>
        <w:t>Уполномоченный представитель</w:t>
      </w:r>
    </w:p>
    <w:p>
      <w:pPr>
        <w:spacing w:after="0"/>
        <w:ind w:left="0"/>
        <w:jc w:val="left"/>
      </w:pPr>
      <w:r>
        <w:rPr>
          <w:rFonts w:ascii="Times New Roman"/>
          <w:b/>
          <w:i w:val="false"/>
          <w:color w:val="000000"/>
        </w:rPr>
        <w:t xml:space="preserve"> ЗА МЕЖДУНАРОДНЫЙ БАНК РЕКОНСТРУКЦИИ И РАЗВИТИЯ</w:t>
      </w:r>
    </w:p>
    <w:p>
      <w:pPr>
        <w:spacing w:after="0"/>
        <w:ind w:left="0"/>
        <w:jc w:val="both"/>
      </w:pPr>
      <w:r>
        <w:rPr>
          <w:rFonts w:ascii="Times New Roman"/>
          <w:b w:val="false"/>
          <w:i w:val="false"/>
          <w:color w:val="000000"/>
          <w:sz w:val="28"/>
        </w:rPr>
        <w:t>Уполномоченный представитель</w:t>
      </w:r>
    </w:p>
    <w:p>
      <w:pPr>
        <w:spacing w:after="0"/>
        <w:ind w:left="0"/>
        <w:jc w:val="left"/>
      </w:pPr>
      <w:r>
        <w:rPr>
          <w:rFonts w:ascii="Times New Roman"/>
          <w:b/>
          <w:i w:val="false"/>
          <w:color w:val="000000"/>
        </w:rPr>
        <w:t xml:space="preserve"> ПРИЛОЖЕНИЕ 1</w:t>
      </w:r>
      <w:r>
        <w:br/>
      </w:r>
      <w:r>
        <w:rPr>
          <w:rFonts w:ascii="Times New Roman"/>
          <w:b/>
          <w:i w:val="false"/>
          <w:color w:val="000000"/>
        </w:rPr>
        <w:t>
Описание Проекта</w:t>
      </w:r>
    </w:p>
    <w:p>
      <w:pPr>
        <w:spacing w:after="0"/>
        <w:ind w:left="0"/>
        <w:jc w:val="both"/>
      </w:pPr>
      <w:r>
        <w:rPr>
          <w:rFonts w:ascii="Times New Roman"/>
          <w:b w:val="false"/>
          <w:i w:val="false"/>
          <w:color w:val="000000"/>
          <w:sz w:val="28"/>
        </w:rPr>
        <w:t>      Целью Проекта является повышение эффективности и результативности национальной статистической системы с целью обеспечения необходимыми, своевременными и достоверными данными в соответствии с международными методиками и лучшей практикой.</w:t>
      </w:r>
    </w:p>
    <w:p>
      <w:pPr>
        <w:spacing w:after="0"/>
        <w:ind w:left="0"/>
        <w:jc w:val="both"/>
      </w:pPr>
      <w:r>
        <w:rPr>
          <w:rFonts w:ascii="Times New Roman"/>
          <w:b w:val="false"/>
          <w:i w:val="false"/>
          <w:color w:val="000000"/>
          <w:sz w:val="28"/>
        </w:rPr>
        <w:t>      Проект состоит из следующих компонентов:</w:t>
      </w:r>
    </w:p>
    <w:p>
      <w:pPr>
        <w:spacing w:after="0"/>
        <w:ind w:left="0"/>
        <w:jc w:val="both"/>
      </w:pPr>
      <w:r>
        <w:rPr>
          <w:rFonts w:ascii="Times New Roman"/>
          <w:b w:val="false"/>
          <w:i w:val="false"/>
          <w:color w:val="000000"/>
          <w:sz w:val="28"/>
          <w:u w:val="single"/>
        </w:rPr>
        <w:t>Компонент 1: Совершенствование институциональной среды и операционного обеспечения статистической системы</w:t>
      </w:r>
    </w:p>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улучшение законодательной базы, координирующей взаимодействие между правительственными учреждениями, занятыми производством статистических данных; (b) рационализация институциональной структуры АРКС; (c) улучшение процедур и методологии стратегического планирования; (d) разработка и внедрение системы учета нагрузки на персонал; (e) внедрение программы управления качеством; (f) улучшение состояния мебели и оборудования.</w:t>
      </w:r>
    </w:p>
    <w:p>
      <w:pPr>
        <w:spacing w:after="0"/>
        <w:ind w:left="0"/>
        <w:jc w:val="both"/>
      </w:pPr>
      <w:r>
        <w:rPr>
          <w:rFonts w:ascii="Times New Roman"/>
          <w:b w:val="false"/>
          <w:i w:val="false"/>
          <w:color w:val="000000"/>
          <w:sz w:val="28"/>
          <w:u w:val="single"/>
        </w:rPr>
        <w:t>Компонент 2: Улучшение информационно-коммуникационных систем и физической инфраструктуры</w:t>
      </w:r>
    </w:p>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улучшение интегрированной системы обработки данных; (b) повышение квалификации персонала департамента ИКТ; (c) обновление компьютерного оборудования и программного обеспечения АРКС в целях ускорения процесса обработки данных; и (d) улучшение существующей корпоративной сети коммуникаций АРКС.</w:t>
      </w:r>
    </w:p>
    <w:p>
      <w:pPr>
        <w:spacing w:after="0"/>
        <w:ind w:left="0"/>
        <w:jc w:val="both"/>
      </w:pPr>
      <w:r>
        <w:rPr>
          <w:rFonts w:ascii="Times New Roman"/>
          <w:b w:val="false"/>
          <w:i w:val="false"/>
          <w:color w:val="000000"/>
          <w:sz w:val="28"/>
          <w:u w:val="single"/>
        </w:rPr>
        <w:t>Компонент 3: Развитие кадрового потенциала</w:t>
      </w:r>
    </w:p>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внедрение новых методов управления, развития карьеры и практики назначения на должность в АРКС; (b) разработка и внедрение стратегии обучения в АРКС (c) разработка и внедрение программы АРКС обучению своего персонала за границей; и (d) пересмотр существующих процедур и политики найма в АРКС.</w:t>
      </w:r>
    </w:p>
    <w:p>
      <w:pPr>
        <w:spacing w:after="0"/>
        <w:ind w:left="0"/>
        <w:jc w:val="both"/>
      </w:pPr>
      <w:r>
        <w:rPr>
          <w:rFonts w:ascii="Times New Roman"/>
          <w:b w:val="false"/>
          <w:i w:val="false"/>
          <w:color w:val="000000"/>
          <w:sz w:val="28"/>
          <w:u w:val="single"/>
        </w:rPr>
        <w:t>Компонент 4: Улучшение статистической инфраструктуры, стандартов и методологий</w:t>
      </w:r>
    </w:p>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актуализация Бизнес регистра; (b) улучшение регистра населения; (c) совершенствование регистра объектов жилого фонда; (d) улучшение сельскохозяйственного регистра; (e) совершенствование классификаторов и стандартов; (f) развитие статистического инструментария; (g) совершенствование методов формирования выборки для обследований; (h) формирование временных рядов и внедрение методов сезонного сглаживания; и (i) усиление аналитической функции АРКС.</w:t>
      </w:r>
    </w:p>
    <w:p>
      <w:pPr>
        <w:spacing w:after="0"/>
        <w:ind w:left="0"/>
        <w:jc w:val="both"/>
      </w:pPr>
      <w:r>
        <w:rPr>
          <w:rFonts w:ascii="Times New Roman"/>
          <w:b w:val="false"/>
          <w:i w:val="false"/>
          <w:color w:val="000000"/>
          <w:sz w:val="28"/>
          <w:u w:val="single"/>
        </w:rPr>
        <w:t>Компонент 5: Совершенствование работы с пользователями и респондентами</w:t>
      </w:r>
    </w:p>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совершенствование политики взаимоотношений с пользователями; (b) совершенствование распространения и маркетинга статистической информации; (c) улучшение политики по работе с респондентами; и (d) улучшение web-портала АРКС;</w:t>
      </w:r>
    </w:p>
    <w:p>
      <w:pPr>
        <w:spacing w:after="0"/>
        <w:ind w:left="0"/>
        <w:jc w:val="both"/>
      </w:pPr>
      <w:r>
        <w:rPr>
          <w:rFonts w:ascii="Times New Roman"/>
          <w:b w:val="false"/>
          <w:i w:val="false"/>
          <w:color w:val="000000"/>
          <w:sz w:val="28"/>
          <w:u w:val="single"/>
        </w:rPr>
        <w:t>Компонент 6: Совершенствование методологии и практики в конкретных областях статистики</w:t>
      </w:r>
    </w:p>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для следующих целей: (a) совершенствование макроэкономической статистики; (b) совершенствование микроэкономической статистики, включая статистику промышленности, энергетики, строительства, инвестиций, внешней и внутренней торговли и статистики услуг (c) совершенствование статистики сельского хозяйства; (d) совершенствование социальной статистики; (e) совершенствование статистики труда; и (f) развитие статистики окружающей среды;</w:t>
      </w:r>
    </w:p>
    <w:p>
      <w:pPr>
        <w:spacing w:after="0"/>
        <w:ind w:left="0"/>
        <w:jc w:val="both"/>
      </w:pPr>
      <w:r>
        <w:rPr>
          <w:rFonts w:ascii="Times New Roman"/>
          <w:b w:val="false"/>
          <w:i w:val="false"/>
          <w:color w:val="000000"/>
          <w:sz w:val="28"/>
          <w:u w:val="single"/>
        </w:rPr>
        <w:t>Компонент 7: Управление Проектом</w:t>
      </w:r>
    </w:p>
    <w:p>
      <w:pPr>
        <w:spacing w:after="0"/>
        <w:ind w:left="0"/>
        <w:jc w:val="both"/>
      </w:pPr>
      <w:r>
        <w:rPr>
          <w:rFonts w:ascii="Times New Roman"/>
          <w:b w:val="false"/>
          <w:i w:val="false"/>
          <w:color w:val="000000"/>
          <w:sz w:val="28"/>
        </w:rPr>
        <w:t>      Предоставление товаров, консультационных услуг, программ обучения и операционных расходов АРКС по управлению, реализации, мониторингу и оценке Проекта.</w:t>
      </w:r>
    </w:p>
    <w:p>
      <w:pPr>
        <w:spacing w:after="0"/>
        <w:ind w:left="0"/>
        <w:jc w:val="left"/>
      </w:pPr>
      <w:r>
        <w:rPr>
          <w:rFonts w:ascii="Times New Roman"/>
          <w:b/>
          <w:i w:val="false"/>
          <w:color w:val="000000"/>
        </w:rPr>
        <w:t xml:space="preserve"> ПРИЛОЖЕНИЕ 2</w:t>
      </w:r>
      <w:r>
        <w:br/>
      </w:r>
      <w:r>
        <w:rPr>
          <w:rFonts w:ascii="Times New Roman"/>
          <w:b/>
          <w:i w:val="false"/>
          <w:color w:val="000000"/>
        </w:rPr>
        <w:t>
Реализация Проекта</w:t>
      </w:r>
    </w:p>
    <w:p>
      <w:pPr>
        <w:spacing w:after="0"/>
        <w:ind w:left="0"/>
        <w:jc w:val="both"/>
      </w:pPr>
      <w:r>
        <w:rPr>
          <w:rFonts w:ascii="Times New Roman"/>
          <w:b/>
          <w:i w:val="false"/>
          <w:color w:val="000000"/>
          <w:sz w:val="28"/>
        </w:rPr>
        <w:t>Раздел I. Механизмы реализации</w:t>
      </w:r>
    </w:p>
    <w:p>
      <w:pPr>
        <w:spacing w:after="0"/>
        <w:ind w:left="0"/>
        <w:jc w:val="both"/>
      </w:pPr>
      <w:r>
        <w:rPr>
          <w:rFonts w:ascii="Times New Roman"/>
          <w:b/>
          <w:i w:val="false"/>
          <w:color w:val="000000"/>
          <w:sz w:val="28"/>
        </w:rPr>
        <w:t>A. Организационные мероприятия</w:t>
      </w:r>
    </w:p>
    <w:p>
      <w:pPr>
        <w:spacing w:after="0"/>
        <w:ind w:left="0"/>
        <w:jc w:val="both"/>
      </w:pPr>
      <w:r>
        <w:rPr>
          <w:rFonts w:ascii="Times New Roman"/>
          <w:b w:val="false"/>
          <w:i w:val="false"/>
          <w:color w:val="000000"/>
          <w:sz w:val="28"/>
        </w:rPr>
        <w:t>      Заемщик реализует Проект в соответствии со следующими организационными и другими мероприятиями:</w:t>
      </w:r>
      <w:r>
        <w:br/>
      </w:r>
      <w:r>
        <w:rPr>
          <w:rFonts w:ascii="Times New Roman"/>
          <w:b w:val="false"/>
          <w:i w:val="false"/>
          <w:color w:val="000000"/>
          <w:sz w:val="28"/>
        </w:rPr>
        <w:t>
      1. КРГ будет нести общую ответственность за надзор над Проектом, межведомственную координацию и стратегическое управление в соответствии с требованиями, критериями, организационными механизмами и операционными процедурами, указанными в Руководстве по реализации Проекта.</w:t>
      </w:r>
      <w:r>
        <w:br/>
      </w:r>
      <w:r>
        <w:rPr>
          <w:rFonts w:ascii="Times New Roman"/>
          <w:b w:val="false"/>
          <w:i w:val="false"/>
          <w:color w:val="000000"/>
          <w:sz w:val="28"/>
        </w:rPr>
        <w:t>
      2. Заемщик, через АРКС и при поддержке КРП, реализует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не должен передавать, вносить изменения, отменять или отказываться от каких-либо положений Руководства по реализации Проекта без предварительного одобрения Банком. КРП ежедневно координирует мероприятия Проекта, включая ответственность за отчетность, закупки и финансовое управление в рамках Проекта.</w:t>
      </w:r>
      <w:r>
        <w:br/>
      </w:r>
      <w:r>
        <w:rPr>
          <w:rFonts w:ascii="Times New Roman"/>
          <w:b w:val="false"/>
          <w:i w:val="false"/>
          <w:color w:val="000000"/>
          <w:sz w:val="28"/>
        </w:rPr>
        <w:t>
      3. На весь период реализации Проекта Заемщик обеспечивает АРКС, ГРП и КРГ составом, ресурсами и техническими заданиями, удовлетворительными для Банка.</w:t>
      </w:r>
      <w:r>
        <w:br/>
      </w:r>
      <w:r>
        <w:rPr>
          <w:rFonts w:ascii="Times New Roman"/>
          <w:b w:val="false"/>
          <w:i w:val="false"/>
          <w:color w:val="000000"/>
          <w:sz w:val="28"/>
        </w:rPr>
        <w:t>
      4. Заемщик, не позднее 20 декабря каждого года реализации Проекта и начиная с 20 декабря 2011 года, предоставляет в Банк Годовой план реализации Проекта на следующий год, определяющий проектные мероприятия по компонентам и подкомпонентам, а также связанные с ними расходы и финансовые ресурсы и согласовывает с Банком планируемые на следующий год мероприятия по Проекту и соответствующий бюджет.</w:t>
      </w:r>
      <w:r>
        <w:br/>
      </w:r>
      <w:r>
        <w:rPr>
          <w:rFonts w:ascii="Times New Roman"/>
          <w:b w:val="false"/>
          <w:i w:val="false"/>
          <w:color w:val="000000"/>
          <w:sz w:val="28"/>
        </w:rPr>
        <w:t>
      5. Заемщик не позднее 31 декабря 2011 года осуществляет выбор и нанимает независимого аудитора, на основании Технического задания, приемлемого для Банка.</w:t>
      </w:r>
    </w:p>
    <w:p>
      <w:pPr>
        <w:spacing w:after="0"/>
        <w:ind w:left="0"/>
        <w:jc w:val="both"/>
      </w:pPr>
      <w:r>
        <w:rPr>
          <w:rFonts w:ascii="Times New Roman"/>
          <w:b/>
          <w:i w:val="false"/>
          <w:color w:val="000000"/>
          <w:sz w:val="28"/>
        </w:rPr>
        <w:t>B. Антикоррупционные меры</w:t>
      </w:r>
    </w:p>
    <w:p>
      <w:pPr>
        <w:spacing w:after="0"/>
        <w:ind w:left="0"/>
        <w:jc w:val="both"/>
      </w:pPr>
      <w:r>
        <w:rPr>
          <w:rFonts w:ascii="Times New Roman"/>
          <w:b w:val="false"/>
          <w:i w:val="false"/>
          <w:color w:val="000000"/>
          <w:sz w:val="28"/>
        </w:rPr>
        <w:t>      Заемщик обеспечит реализацию Проекта в соответствии с положениями Руководства Банка по противодействию коррупции.</w:t>
      </w:r>
    </w:p>
    <w:p>
      <w:pPr>
        <w:spacing w:after="0"/>
        <w:ind w:left="0"/>
        <w:jc w:val="both"/>
      </w:pPr>
      <w:r>
        <w:rPr>
          <w:rFonts w:ascii="Times New Roman"/>
          <w:b/>
          <w:i w:val="false"/>
          <w:color w:val="000000"/>
          <w:sz w:val="28"/>
        </w:rPr>
        <w:t xml:space="preserve">Раздел II. </w:t>
      </w:r>
      <w:r>
        <w:rPr>
          <w:rFonts w:ascii="Times New Roman"/>
          <w:b w:val="false"/>
          <w:i w:val="false"/>
          <w:color w:val="000000"/>
          <w:sz w:val="28"/>
          <w:u w:val="single"/>
        </w:rPr>
        <w:t>Отчетность по мониторингу и оценка Проекта</w:t>
      </w:r>
    </w:p>
    <w:p>
      <w:pPr>
        <w:spacing w:after="0"/>
        <w:ind w:left="0"/>
        <w:jc w:val="both"/>
      </w:pPr>
      <w:r>
        <w:rPr>
          <w:rFonts w:ascii="Times New Roman"/>
          <w:b/>
          <w:i w:val="false"/>
          <w:color w:val="000000"/>
          <w:sz w:val="28"/>
        </w:rPr>
        <w:t>A. Отчеты по Проекту</w:t>
      </w:r>
    </w:p>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и подготавливает Отчеты по Проекту в соответствиями с положениями Раздела 5.08 Общих условий и на основе индикаторов, согласованных с Банком. Каждый Отчет по Проекту должен охватывать период в одно календарное полугодие, и представлен Банку не позднее чем через сорок пять (45) дней после окончания периода, охватываемого данным отчетом.</w:t>
      </w:r>
      <w:r>
        <w:br/>
      </w:r>
      <w:r>
        <w:rPr>
          <w:rFonts w:ascii="Times New Roman"/>
          <w:b w:val="false"/>
          <w:i w:val="false"/>
          <w:color w:val="000000"/>
          <w:sz w:val="28"/>
        </w:rPr>
        <w:t>
      2. В соответствии с Разделом 5.08 (с) Общих условий, отчет о реализации Проекта и соответствующий план, предусмотренные настоящим разделом, будут направлены в Банк не позднее 6 (шести) месяцев после Даты закрытия Проекта.</w:t>
      </w:r>
      <w:r>
        <w:br/>
      </w:r>
      <w:r>
        <w:rPr>
          <w:rFonts w:ascii="Times New Roman"/>
          <w:b w:val="false"/>
          <w:i w:val="false"/>
          <w:color w:val="000000"/>
          <w:sz w:val="28"/>
        </w:rPr>
        <w:t>
      3. Не позднее 30 месяцев с Даты вступления в силу Заемщик совместно с Банком произведет среднесрочный обзор, который, кроме всего прочего, оценит общую успешность реализации Проекта.</w:t>
      </w:r>
      <w:r>
        <w:br/>
      </w:r>
      <w:r>
        <w:rPr>
          <w:rFonts w:ascii="Times New Roman"/>
          <w:b w:val="false"/>
          <w:i w:val="false"/>
          <w:color w:val="000000"/>
          <w:sz w:val="28"/>
        </w:rPr>
        <w:t>
      4. Заемщик представит Банку, не позднее, чем за 6 (шесть) недель до Среднесрочного обзора, отдельный отчет с описанием хода реализации каждого компонента Проекта и сводный отчет об общей реализации Проекта.</w:t>
      </w:r>
    </w:p>
    <w:p>
      <w:pPr>
        <w:spacing w:after="0"/>
        <w:ind w:left="0"/>
        <w:jc w:val="both"/>
      </w:pPr>
      <w:r>
        <w:rPr>
          <w:rFonts w:ascii="Times New Roman"/>
          <w:b/>
          <w:i w:val="false"/>
          <w:color w:val="000000"/>
          <w:sz w:val="28"/>
        </w:rPr>
        <w:t>B. Финансовое управление, финансовая отчетность и аудит</w:t>
      </w:r>
    </w:p>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w:t>
      </w:r>
      <w:r>
        <w:br/>
      </w:r>
      <w:r>
        <w:rPr>
          <w:rFonts w:ascii="Times New Roman"/>
          <w:b w:val="false"/>
          <w:i w:val="false"/>
          <w:color w:val="000000"/>
          <w:sz w:val="28"/>
        </w:rPr>
        <w:t>
      2. Без ограничения к положениям Части А настоящего Раздела, Заемщик готовит и представляет в Банк не позднее, чем через 45 (сорок пять)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w:t>
      </w:r>
      <w:r>
        <w:br/>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1 (один) финансовый год Заемщика. Финансовая отчетность за каждый такой период, прошедшая аудиторскую проверку, предоставляются в Банк не позднее 6 (шести) месяцев после окончания каждого такого периода.</w:t>
      </w:r>
      <w:r>
        <w:br/>
      </w:r>
      <w:r>
        <w:rPr>
          <w:rFonts w:ascii="Times New Roman"/>
          <w:b w:val="false"/>
          <w:i w:val="false"/>
          <w:color w:val="000000"/>
          <w:sz w:val="28"/>
        </w:rPr>
        <w:t>
      4. До начала реализации Проекта Заемщик осуществляет выбор и нанимает консультанта по финансовому управлению с квалификацией и техническим заданием, приемлемым для Банка, для оказания помощи главному бухгалтеру и несения ответственности за финансовое управление Проекта.</w:t>
      </w:r>
    </w:p>
    <w:p>
      <w:pPr>
        <w:spacing w:after="0"/>
        <w:ind w:left="0"/>
        <w:jc w:val="both"/>
      </w:pPr>
      <w:r>
        <w:rPr>
          <w:rFonts w:ascii="Times New Roman"/>
          <w:b/>
          <w:i w:val="false"/>
          <w:color w:val="000000"/>
          <w:sz w:val="28"/>
        </w:rPr>
        <w:t xml:space="preserve">Раздел III. </w:t>
      </w:r>
      <w:r>
        <w:rPr>
          <w:rFonts w:ascii="Times New Roman"/>
          <w:b w:val="false"/>
          <w:i w:val="false"/>
          <w:color w:val="000000"/>
          <w:sz w:val="28"/>
          <w:u w:val="single"/>
        </w:rPr>
        <w:t>Закупки</w:t>
      </w:r>
    </w:p>
    <w:p>
      <w:pPr>
        <w:spacing w:after="0"/>
        <w:ind w:left="0"/>
        <w:jc w:val="both"/>
      </w:pPr>
      <w:r>
        <w:rPr>
          <w:rFonts w:ascii="Times New Roman"/>
          <w:b/>
          <w:i w:val="false"/>
          <w:color w:val="000000"/>
          <w:sz w:val="28"/>
        </w:rPr>
        <w:t xml:space="preserve">A.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Товары</w:t>
      </w:r>
      <w:r>
        <w:rPr>
          <w:rFonts w:ascii="Times New Roman"/>
          <w:b w:val="false"/>
          <w:i w:val="false"/>
          <w:color w:val="000000"/>
          <w:sz w:val="28"/>
        </w:rPr>
        <w:t>. Все товары,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w:t>
      </w:r>
      <w:r>
        <w:br/>
      </w:r>
      <w:r>
        <w:rPr>
          <w:rFonts w:ascii="Times New Roman"/>
          <w:b w:val="false"/>
          <w:i w:val="false"/>
          <w:color w:val="000000"/>
          <w:sz w:val="28"/>
        </w:rPr>
        <w:t xml:space="preserve">
      2. </w:t>
      </w:r>
      <w:r>
        <w:rPr>
          <w:rFonts w:ascii="Times New Roman"/>
          <w:b/>
          <w:i w:val="false"/>
          <w:color w:val="000000"/>
          <w:sz w:val="28"/>
        </w:rPr>
        <w:t>Услуги консультантов</w:t>
      </w:r>
      <w:r>
        <w:rPr>
          <w:rFonts w:ascii="Times New Roman"/>
          <w:b w:val="false"/>
          <w:i w:val="false"/>
          <w:color w:val="000000"/>
          <w:sz w:val="28"/>
        </w:rPr>
        <w:t>.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и IV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w:t>
      </w:r>
      <w:r>
        <w:br/>
      </w:r>
      <w:r>
        <w:rPr>
          <w:rFonts w:ascii="Times New Roman"/>
          <w:b w:val="false"/>
          <w:i w:val="false"/>
          <w:color w:val="000000"/>
          <w:sz w:val="28"/>
        </w:rPr>
        <w:t>
      3.</w:t>
      </w:r>
      <w:r>
        <w:rPr>
          <w:rFonts w:ascii="Times New Roman"/>
          <w:b/>
          <w:i w:val="false"/>
          <w:color w:val="000000"/>
          <w:sz w:val="28"/>
        </w:rPr>
        <w:t xml:space="preserve"> Определения</w:t>
      </w:r>
      <w:r>
        <w:rPr>
          <w:rFonts w:ascii="Times New Roman"/>
          <w:b w:val="false"/>
          <w:i w:val="false"/>
          <w:color w:val="000000"/>
          <w:sz w:val="28"/>
        </w:rPr>
        <w:t>. 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предписанных им в Руководстве по закупкам или Руководстве по консультантам, в зависимости от конкретного случая.</w:t>
      </w:r>
    </w:p>
    <w:p>
      <w:pPr>
        <w:spacing w:after="0"/>
        <w:ind w:left="0"/>
        <w:jc w:val="both"/>
      </w:pPr>
      <w:r>
        <w:rPr>
          <w:rFonts w:ascii="Times New Roman"/>
          <w:b/>
          <w:i w:val="false"/>
          <w:color w:val="000000"/>
          <w:sz w:val="28"/>
        </w:rPr>
        <w:t xml:space="preserve">B. </w:t>
      </w:r>
      <w:r>
        <w:rPr>
          <w:rFonts w:ascii="Times New Roman"/>
          <w:b w:val="false"/>
          <w:i w:val="false"/>
          <w:color w:val="000000"/>
          <w:sz w:val="28"/>
          <w:u w:val="single"/>
        </w:rPr>
        <w:t>Специфические методы закупок товаров</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Если иное не предусмотрено в пункте 2 ниже, закупка товаров осуществляется по контрактам, заключенным в соответствии с процедурами Международных конкурсных торгов.</w:t>
      </w:r>
      <w:r>
        <w:br/>
      </w:r>
      <w:r>
        <w:rPr>
          <w:rFonts w:ascii="Times New Roman"/>
          <w:b w:val="false"/>
          <w:i w:val="false"/>
          <w:color w:val="000000"/>
          <w:sz w:val="28"/>
        </w:rPr>
        <w:t xml:space="preserve">
      2. </w:t>
      </w:r>
      <w:r>
        <w:rPr>
          <w:rFonts w:ascii="Times New Roman"/>
          <w:b/>
          <w:i w:val="false"/>
          <w:color w:val="000000"/>
          <w:sz w:val="28"/>
        </w:rPr>
        <w:t>Прочие методы закупок товаров</w:t>
      </w:r>
      <w:r>
        <w:rPr>
          <w:rFonts w:ascii="Times New Roman"/>
          <w:b w:val="false"/>
          <w:i w:val="false"/>
          <w:color w:val="000000"/>
          <w:sz w:val="28"/>
        </w:rPr>
        <w:t>. В таблице ниже представлены методы закупок, кроме Международных конкурсных торгов, которые могут быть использованы применительно к товарам. План закупок должен содержать обстоятельства, при которых используется тот или иной метод.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3"/>
      </w:tblGrid>
      <w:tr>
        <w:trPr>
          <w:trHeight w:val="3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 закупок</w:t>
            </w:r>
          </w:p>
        </w:tc>
      </w:tr>
      <w:tr>
        <w:trPr>
          <w:trHeight w:val="3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Национальные конкурсные торги, при условии соблюдения положений</w:t>
            </w:r>
            <w:r>
              <w:br/>
            </w:r>
            <w:r>
              <w:rPr>
                <w:rFonts w:ascii="Times New Roman"/>
                <w:b w:val="false"/>
                <w:i w:val="false"/>
                <w:color w:val="000000"/>
                <w:sz w:val="20"/>
              </w:rPr>
              <w:t>
    Приложения к настоящему Приложению 2</w:t>
            </w:r>
          </w:p>
        </w:tc>
      </w:tr>
      <w:tr>
        <w:trPr>
          <w:trHeight w:val="3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Закупки в свободной торговле (Шопинг)</w:t>
            </w:r>
          </w:p>
        </w:tc>
      </w:tr>
      <w:tr>
        <w:trPr>
          <w:trHeight w:val="3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Прямое заключение контрактов</w:t>
            </w:r>
          </w:p>
        </w:tc>
      </w:tr>
    </w:tbl>
    <w:p>
      <w:pPr>
        <w:spacing w:after="0"/>
        <w:ind w:left="0"/>
        <w:jc w:val="both"/>
      </w:pPr>
      <w:r>
        <w:rPr>
          <w:rFonts w:ascii="Times New Roman"/>
          <w:b/>
          <w:i w:val="false"/>
          <w:color w:val="000000"/>
          <w:sz w:val="28"/>
        </w:rPr>
        <w:t xml:space="preserve">C. </w:t>
      </w:r>
      <w:r>
        <w:rPr>
          <w:rFonts w:ascii="Times New Roman"/>
          <w:b w:val="false"/>
          <w:i w:val="false"/>
          <w:color w:val="000000"/>
          <w:sz w:val="28"/>
          <w:u w:val="single"/>
        </w:rPr>
        <w:t>Специфические методы закупки услуг консультантов</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xml:space="preserve">
      2. </w:t>
      </w:r>
      <w:r>
        <w:rPr>
          <w:rFonts w:ascii="Times New Roman"/>
          <w:b/>
          <w:i w:val="false"/>
          <w:color w:val="000000"/>
          <w:sz w:val="28"/>
        </w:rPr>
        <w:t>Прочие методы закупок услуг консультантов</w:t>
      </w:r>
      <w:r>
        <w:rPr>
          <w:rFonts w:ascii="Times New Roman"/>
          <w:b w:val="false"/>
          <w:i w:val="false"/>
          <w:color w:val="000000"/>
          <w:sz w:val="28"/>
        </w:rPr>
        <w:t>.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использовался тот или иной метод.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3"/>
      </w:tblGrid>
      <w:tr>
        <w:trPr>
          <w:trHeight w:val="3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Метод закупок</w:t>
            </w:r>
          </w:p>
        </w:tc>
      </w:tr>
      <w:tr>
        <w:trPr>
          <w:trHeight w:val="3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Отбор на основе качества</w:t>
            </w:r>
          </w:p>
        </w:tc>
      </w:tr>
      <w:tr>
        <w:trPr>
          <w:trHeight w:val="3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наименьшей стоимости</w:t>
            </w:r>
          </w:p>
        </w:tc>
      </w:tr>
      <w:tr>
        <w:trPr>
          <w:trHeight w:val="3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Отбор при фиксированном бюджете</w:t>
            </w:r>
          </w:p>
        </w:tc>
      </w:tr>
      <w:tr>
        <w:trPr>
          <w:trHeight w:val="3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Отбор на основе квалификации консультантов</w:t>
            </w:r>
          </w:p>
        </w:tc>
      </w:tr>
      <w:tr>
        <w:trPr>
          <w:trHeight w:val="3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Закупки из одного источника</w:t>
            </w:r>
          </w:p>
        </w:tc>
      </w:tr>
      <w:tr>
        <w:trPr>
          <w:trHeight w:val="30" w:hRule="atLeast"/>
        </w:trPr>
        <w:tc>
          <w:tcPr>
            <w:tcW w:w="1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Процедуры, установленные в параграфах 5.2, 5.3 и 5.4</w:t>
            </w:r>
            <w:r>
              <w:br/>
            </w:r>
            <w:r>
              <w:rPr>
                <w:rFonts w:ascii="Times New Roman"/>
                <w:b w:val="false"/>
                <w:i w:val="false"/>
                <w:color w:val="000000"/>
                <w:sz w:val="20"/>
              </w:rPr>
              <w:t>
    Руководства по консультантам для отбора индивидуальных</w:t>
            </w:r>
            <w:r>
              <w:br/>
            </w:r>
            <w:r>
              <w:rPr>
                <w:rFonts w:ascii="Times New Roman"/>
                <w:b w:val="false"/>
                <w:i w:val="false"/>
                <w:color w:val="000000"/>
                <w:sz w:val="20"/>
              </w:rPr>
              <w:t>
    консультантов</w:t>
            </w:r>
          </w:p>
        </w:tc>
      </w:tr>
    </w:tbl>
    <w:p>
      <w:pPr>
        <w:spacing w:after="0"/>
        <w:ind w:left="0"/>
        <w:jc w:val="both"/>
      </w:pPr>
      <w:r>
        <w:rPr>
          <w:rFonts w:ascii="Times New Roman"/>
          <w:b/>
          <w:i w:val="false"/>
          <w:color w:val="000000"/>
          <w:sz w:val="28"/>
        </w:rPr>
        <w:t xml:space="preserve">D. </w:t>
      </w:r>
      <w:r>
        <w:rPr>
          <w:rFonts w:ascii="Times New Roman"/>
          <w:b w:val="false"/>
          <w:i w:val="false"/>
          <w:color w:val="000000"/>
          <w:sz w:val="28"/>
          <w:u w:val="single"/>
        </w:rPr>
        <w:t>Рассмотрение Банком решений по закупкам</w:t>
      </w:r>
    </w:p>
    <w:p>
      <w:pPr>
        <w:spacing w:after="0"/>
        <w:ind w:left="0"/>
        <w:jc w:val="both"/>
      </w:pPr>
      <w:r>
        <w:rPr>
          <w:rFonts w:ascii="Times New Roman"/>
          <w:b w:val="false"/>
          <w:i w:val="false"/>
          <w:color w:val="000000"/>
          <w:sz w:val="28"/>
        </w:rPr>
        <w:t>      В Плане закупок указывается перечень контрактов, которые подлежат Предварительному рассмотрению Банком. Все прочие контракты являются предметом Последующего рассмотрения Банком.</w:t>
      </w:r>
    </w:p>
    <w:p>
      <w:pPr>
        <w:spacing w:after="0"/>
        <w:ind w:left="0"/>
        <w:jc w:val="both"/>
      </w:pPr>
      <w:r>
        <w:rPr>
          <w:rFonts w:ascii="Times New Roman"/>
          <w:b/>
          <w:i w:val="false"/>
          <w:color w:val="000000"/>
          <w:sz w:val="28"/>
        </w:rPr>
        <w:t xml:space="preserve">Раздел IV. </w:t>
      </w:r>
      <w:r>
        <w:rPr>
          <w:rFonts w:ascii="Times New Roman"/>
          <w:b w:val="false"/>
          <w:i w:val="false"/>
          <w:color w:val="000000"/>
          <w:sz w:val="28"/>
          <w:u w:val="single"/>
        </w:rPr>
        <w:t>Снятие средств Займа со счета</w:t>
      </w:r>
    </w:p>
    <w:p>
      <w:pPr>
        <w:spacing w:after="0"/>
        <w:ind w:left="0"/>
        <w:jc w:val="both"/>
      </w:pPr>
      <w:r>
        <w:rPr>
          <w:rFonts w:ascii="Times New Roman"/>
          <w:b/>
          <w:i w:val="false"/>
          <w:color w:val="000000"/>
          <w:sz w:val="28"/>
        </w:rPr>
        <w:t>A. Общие положения</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настоящего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пункта 2 ниже.</w:t>
      </w:r>
      <w:r>
        <w:br/>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4967"/>
        <w:gridCol w:w="3174"/>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Категория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Выделенная сумма</w:t>
            </w:r>
            <w:r>
              <w:br/>
            </w:r>
            <w:r>
              <w:rPr>
                <w:rFonts w:ascii="Times New Roman"/>
                <w:b/>
                <w:i w:val="false"/>
                <w:color w:val="000000"/>
                <w:sz w:val="20"/>
              </w:rPr>
              <w:t>
Займа (в долларовом</w:t>
            </w:r>
            <w:r>
              <w:br/>
            </w:r>
            <w:r>
              <w:rPr>
                <w:rFonts w:ascii="Times New Roman"/>
                <w:b/>
                <w:i w:val="false"/>
                <w:color w:val="000000"/>
                <w:sz w:val="20"/>
              </w:rPr>
              <w:t>
эквиваленте)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расходов,</w:t>
            </w:r>
            <w:r>
              <w:br/>
            </w:r>
            <w:r>
              <w:rPr>
                <w:rFonts w:ascii="Times New Roman"/>
                <w:b/>
                <w:i w:val="false"/>
                <w:color w:val="000000"/>
                <w:sz w:val="20"/>
              </w:rPr>
              <w:t>
подлежащая</w:t>
            </w:r>
            <w:r>
              <w:br/>
            </w:r>
            <w:r>
              <w:rPr>
                <w:rFonts w:ascii="Times New Roman"/>
                <w:b/>
                <w:i w:val="false"/>
                <w:color w:val="000000"/>
                <w:sz w:val="20"/>
              </w:rPr>
              <w:t>
финансированию</w:t>
            </w:r>
            <w:r>
              <w:br/>
            </w:r>
            <w:r>
              <w:rPr>
                <w:rFonts w:ascii="Times New Roman"/>
                <w:b/>
                <w:i w:val="false"/>
                <w:color w:val="000000"/>
                <w:sz w:val="20"/>
              </w:rPr>
              <w:t>
(включая налоги)
</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Товары, услуги</w:t>
            </w:r>
            <w:r>
              <w:br/>
            </w:r>
            <w:r>
              <w:rPr>
                <w:rFonts w:ascii="Times New Roman"/>
                <w:b w:val="false"/>
                <w:i w:val="false"/>
                <w:color w:val="000000"/>
                <w:sz w:val="20"/>
              </w:rPr>
              <w:t>
консультантов,</w:t>
            </w:r>
            <w:r>
              <w:br/>
            </w:r>
            <w:r>
              <w:rPr>
                <w:rFonts w:ascii="Times New Roman"/>
                <w:b w:val="false"/>
                <w:i w:val="false"/>
                <w:color w:val="000000"/>
                <w:sz w:val="20"/>
              </w:rPr>
              <w:t>
операционные расходы и</w:t>
            </w:r>
            <w:r>
              <w:br/>
            </w:r>
            <w:r>
              <w:rPr>
                <w:rFonts w:ascii="Times New Roman"/>
                <w:b w:val="false"/>
                <w:i w:val="false"/>
                <w:color w:val="000000"/>
                <w:sz w:val="20"/>
              </w:rPr>
              <w:t>
обучение по Проекту</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$20,000,000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Пояснения к таблице:</w:t>
      </w:r>
    </w:p>
    <w:p>
      <w:pPr>
        <w:spacing w:after="0"/>
        <w:ind w:left="0"/>
        <w:jc w:val="both"/>
      </w:pPr>
      <w:r>
        <w:rPr>
          <w:rFonts w:ascii="Times New Roman"/>
          <w:b w:val="false"/>
          <w:i w:val="false"/>
          <w:color w:val="000000"/>
          <w:sz w:val="28"/>
        </w:rPr>
        <w:t>      (a) Термин "операционные расходы" означает обоснованные затраты АРКС по реализации Проекта на связь, переводы, канцелярские товары, объявления, ксерокопирование, почту и поездки. Данный вид расходов будет финансироваться из средств Займа в соответствии с годовым бюджетом, одобренным Банком и с административными процедурами АРКС, приемлемыми для Банка. Операционные расходы не включают в себя заработную плату государственных служащих Заемщика.</w:t>
      </w:r>
      <w:r>
        <w:br/>
      </w:r>
      <w:r>
        <w:rPr>
          <w:rFonts w:ascii="Times New Roman"/>
          <w:b w:val="false"/>
          <w:i w:val="false"/>
          <w:color w:val="000000"/>
          <w:sz w:val="28"/>
        </w:rPr>
        <w:t>
      (b) "Обучение" означает имеющие отношение к Проекту тренинги и семинары, проводимые в соответствии с годовым планом обучения, подготовленным АРКС и одобренным Банком, включая ознакомительные поездки, курсы обучения, семинары, тренинги и другие обучающие мероприятия, не включенные в контракты поставщиков товаров и услуг, включая затраты на учебные материалы, аренду помещений и оборудования, поездки внутри страны, суточные обучаемых сотрудников и оплату преподавателей, а также услуги устного и письменного перевода.</w:t>
      </w:r>
    </w:p>
    <w:p>
      <w:pPr>
        <w:spacing w:after="0"/>
        <w:ind w:left="0"/>
        <w:jc w:val="both"/>
      </w:pPr>
      <w:r>
        <w:rPr>
          <w:rFonts w:ascii="Times New Roman"/>
          <w:b/>
          <w:i w:val="false"/>
          <w:color w:val="000000"/>
          <w:sz w:val="28"/>
        </w:rPr>
        <w:t>B. Условия снятия; период снятия</w:t>
      </w:r>
    </w:p>
    <w:p>
      <w:pPr>
        <w:spacing w:after="0"/>
        <w:ind w:left="0"/>
        <w:jc w:val="both"/>
      </w:pPr>
      <w:r>
        <w:rPr>
          <w:rFonts w:ascii="Times New Roman"/>
          <w:b w:val="false"/>
          <w:i w:val="false"/>
          <w:color w:val="000000"/>
          <w:sz w:val="28"/>
        </w:rPr>
        <w:t>      1. Независимо от положений Части А настоящего Раздела, средства не должны сниматься:</w:t>
      </w:r>
      <w:r>
        <w:br/>
      </w: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либо</w:t>
      </w:r>
      <w:r>
        <w:br/>
      </w:r>
      <w:r>
        <w:rPr>
          <w:rFonts w:ascii="Times New Roman"/>
          <w:b w:val="false"/>
          <w:i w:val="false"/>
          <w:color w:val="000000"/>
          <w:sz w:val="28"/>
        </w:rPr>
        <w:t>
      (b) по платежам, совершенным до даты настоящего Соглашения.</w:t>
      </w:r>
      <w:r>
        <w:br/>
      </w:r>
      <w:r>
        <w:rPr>
          <w:rFonts w:ascii="Times New Roman"/>
          <w:b w:val="false"/>
          <w:i w:val="false"/>
          <w:color w:val="000000"/>
          <w:sz w:val="28"/>
        </w:rPr>
        <w:t>
      2. Дата закрытия - 30 апреля 2017 года.</w:t>
      </w:r>
    </w:p>
    <w:p>
      <w:pPr>
        <w:spacing w:after="0"/>
        <w:ind w:left="0"/>
        <w:jc w:val="left"/>
      </w:pPr>
      <w:r>
        <w:rPr>
          <w:rFonts w:ascii="Times New Roman"/>
          <w:b/>
          <w:i w:val="false"/>
          <w:color w:val="000000"/>
        </w:rPr>
        <w:t xml:space="preserve"> Дополнение</w:t>
      </w:r>
      <w:r>
        <w:br/>
      </w:r>
      <w:r>
        <w:rPr>
          <w:rFonts w:ascii="Times New Roman"/>
          <w:b/>
          <w:i w:val="false"/>
          <w:color w:val="000000"/>
        </w:rPr>
        <w:t>
к</w:t>
      </w:r>
      <w:r>
        <w:br/>
      </w:r>
      <w:r>
        <w:rPr>
          <w:rFonts w:ascii="Times New Roman"/>
          <w:b/>
          <w:i w:val="false"/>
          <w:color w:val="000000"/>
        </w:rPr>
        <w:t>
Приложению 2</w:t>
      </w:r>
    </w:p>
    <w:p>
      <w:pPr>
        <w:spacing w:after="0"/>
        <w:ind w:left="0"/>
        <w:jc w:val="both"/>
      </w:pPr>
      <w:r>
        <w:rPr>
          <w:rFonts w:ascii="Times New Roman"/>
          <w:b w:val="false"/>
          <w:i w:val="false"/>
          <w:color w:val="000000"/>
          <w:sz w:val="28"/>
        </w:rPr>
        <w:t>      Национальные процедуры конкурсных торгов Заемщика могут быть использованы для закупки товаров в рамках Проекта при условии выполнения следующих условий:</w:t>
      </w:r>
      <w:r>
        <w:br/>
      </w:r>
      <w:r>
        <w:rPr>
          <w:rFonts w:ascii="Times New Roman"/>
          <w:b w:val="false"/>
          <w:i w:val="false"/>
          <w:color w:val="000000"/>
          <w:sz w:val="28"/>
        </w:rPr>
        <w:t>
      1. Допуск участников конкурса определяется в соответствии с Разделом I Руководства по закупкам по займам МБРР и кредитам МАР. В связи с чем, ни одному участнику не может быть отказано в участии в конкурсе на контракты, финансируемые Ассоциацией, на основании условий, которые не указаны в Разделе I Руководства по закупкам по займам МБРР и кредитам МАР.</w:t>
      </w:r>
      <w:r>
        <w:br/>
      </w:r>
      <w:r>
        <w:rPr>
          <w:rFonts w:ascii="Times New Roman"/>
          <w:b w:val="false"/>
          <w:i w:val="false"/>
          <w:color w:val="000000"/>
          <w:sz w:val="28"/>
        </w:rPr>
        <w:t>
      2. Закупающие организации должны использовать стандартную конкурсную документацию, приемлемую для Банка.</w:t>
      </w:r>
      <w:r>
        <w:br/>
      </w:r>
      <w:r>
        <w:rPr>
          <w:rFonts w:ascii="Times New Roman"/>
          <w:b w:val="false"/>
          <w:i w:val="false"/>
          <w:color w:val="000000"/>
          <w:sz w:val="28"/>
        </w:rPr>
        <w:t>
      3. Продление действия Конкурсной заявки, при исключительных обстоятельствах, запрашивается в письменной форме от всех участников конкурса до даты завершения их срока действия, и на минимальный срок, необходимый для завершения оценки предложений и присуждения контракта.</w:t>
      </w:r>
      <w:r>
        <w:br/>
      </w:r>
      <w:r>
        <w:rPr>
          <w:rFonts w:ascii="Times New Roman"/>
          <w:b w:val="false"/>
          <w:i w:val="false"/>
          <w:color w:val="000000"/>
          <w:sz w:val="28"/>
        </w:rPr>
        <w:t>
      4. Преференции по государственному признаку не применяются.</w:t>
      </w:r>
      <w:r>
        <w:br/>
      </w:r>
      <w:r>
        <w:rPr>
          <w:rFonts w:ascii="Times New Roman"/>
          <w:b w:val="false"/>
          <w:i w:val="false"/>
          <w:color w:val="000000"/>
          <w:sz w:val="28"/>
        </w:rPr>
        <w:t>
      5. Организации с доминирующим участием государства не участвуют в тендерах, проводимых Правительством, если только не будет доказано, что они финансово и юридически независимы и действуют в рамках коммерческого права.</w:t>
      </w:r>
      <w:r>
        <w:br/>
      </w:r>
      <w:r>
        <w:rPr>
          <w:rFonts w:ascii="Times New Roman"/>
          <w:b w:val="false"/>
          <w:i w:val="false"/>
          <w:color w:val="000000"/>
          <w:sz w:val="28"/>
        </w:rPr>
        <w:t>
      6. Постквалификационные критерии применяются только в отношении эффективности прошлых контрактов, финансового и технического потенциала участников конкурса.</w:t>
      </w:r>
      <w:r>
        <w:br/>
      </w:r>
      <w:r>
        <w:rPr>
          <w:rFonts w:ascii="Times New Roman"/>
          <w:b w:val="false"/>
          <w:i w:val="false"/>
          <w:color w:val="000000"/>
          <w:sz w:val="28"/>
        </w:rPr>
        <w:t>
      7. Партнеры совместных предприятий несут ответственность совместно и индивидуально.</w:t>
      </w:r>
      <w:r>
        <w:br/>
      </w:r>
      <w:r>
        <w:rPr>
          <w:rFonts w:ascii="Times New Roman"/>
          <w:b w:val="false"/>
          <w:i w:val="false"/>
          <w:color w:val="000000"/>
          <w:sz w:val="28"/>
        </w:rPr>
        <w:t>
      8. Конкурсные заявки вскрываются публично сразу после даты завершения приема заявок. Ни одна заявка не может быть отклонена на стадии вскрытия кроме тех, которые были получены после завершения срока подачи заявок.</w:t>
      </w:r>
      <w:r>
        <w:br/>
      </w:r>
      <w:r>
        <w:rPr>
          <w:rFonts w:ascii="Times New Roman"/>
          <w:b w:val="false"/>
          <w:i w:val="false"/>
          <w:color w:val="000000"/>
          <w:sz w:val="28"/>
        </w:rPr>
        <w:t>
      9. Тендерная заявка не может быть отклонена только на основании превышения расчетной стоимости.</w:t>
      </w:r>
      <w:r>
        <w:br/>
      </w:r>
      <w:r>
        <w:rPr>
          <w:rFonts w:ascii="Times New Roman"/>
          <w:b w:val="false"/>
          <w:i w:val="false"/>
          <w:color w:val="000000"/>
          <w:sz w:val="28"/>
        </w:rPr>
        <w:t>
      10. При оценке заявок квалификационные критерии используются по принципу "прошел/не прошел".</w:t>
      </w:r>
      <w:r>
        <w:br/>
      </w:r>
      <w:r>
        <w:rPr>
          <w:rFonts w:ascii="Times New Roman"/>
          <w:b w:val="false"/>
          <w:i w:val="false"/>
          <w:color w:val="000000"/>
          <w:sz w:val="28"/>
        </w:rPr>
        <w:t>
      11. Контракты присуждаются квалифицированным участникам, предложившим наиболее низкую оцененную стоимость, и переговоры по ценам не проводятся.</w:t>
      </w:r>
    </w:p>
    <w:p>
      <w:pPr>
        <w:spacing w:after="0"/>
        <w:ind w:left="0"/>
        <w:jc w:val="left"/>
      </w:pPr>
      <w:r>
        <w:rPr>
          <w:rFonts w:ascii="Times New Roman"/>
          <w:b/>
          <w:i w:val="false"/>
          <w:color w:val="000000"/>
        </w:rPr>
        <w:t xml:space="preserve"> ПРИЛОЖЕНИЕ 3</w:t>
      </w:r>
      <w:r>
        <w:br/>
      </w:r>
      <w:r>
        <w:rPr>
          <w:rFonts w:ascii="Times New Roman"/>
          <w:b/>
          <w:i w:val="false"/>
          <w:color w:val="000000"/>
        </w:rPr>
        <w:t>
График погашения</w:t>
      </w:r>
    </w:p>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произведения: (a) Суммы Займа, снятой на первую Дату погашения основного долга, и (b)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2"/>
        <w:gridCol w:w="5157"/>
      </w:tblGrid>
      <w:tr>
        <w:trPr>
          <w:trHeight w:val="30" w:hRule="atLeast"/>
        </w:trPr>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Дата платежа по основному долгу
</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Доля погашения</w:t>
            </w:r>
            <w:r>
              <w:br/>
            </w:r>
            <w:r>
              <w:rPr>
                <w:rFonts w:ascii="Times New Roman"/>
                <w:b/>
                <w:i w:val="false"/>
                <w:color w:val="000000"/>
                <w:sz w:val="20"/>
              </w:rPr>
              <w:t>
(в процентном выражении)
</w:t>
            </w:r>
          </w:p>
        </w:tc>
      </w:tr>
      <w:tr>
        <w:trPr>
          <w:trHeight w:val="30" w:hRule="atLeast"/>
        </w:trPr>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апреля и 15 октября каждого года,</w:t>
            </w:r>
            <w:r>
              <w:br/>
            </w:r>
            <w:r>
              <w:rPr>
                <w:rFonts w:ascii="Times New Roman"/>
                <w:b w:val="false"/>
                <w:i w:val="false"/>
                <w:color w:val="000000"/>
                <w:sz w:val="20"/>
              </w:rPr>
              <w:t>
начиная с 15 апреля 2016 года по 15</w:t>
            </w:r>
            <w:r>
              <w:br/>
            </w:r>
            <w:r>
              <w:rPr>
                <w:rFonts w:ascii="Times New Roman"/>
                <w:b w:val="false"/>
                <w:i w:val="false"/>
                <w:color w:val="000000"/>
                <w:sz w:val="20"/>
              </w:rPr>
              <w:t>
октября 2025 года.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r>
        <w:br/>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(b) Несмотря на положения подпункта (a) настоящего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r>
        <w:br/>
      </w:r>
      <w:r>
        <w:rPr>
          <w:rFonts w:ascii="Times New Roman"/>
          <w:b w:val="false"/>
          <w:i w:val="false"/>
          <w:color w:val="000000"/>
          <w:sz w:val="28"/>
        </w:rPr>
        <w:t>
      4. Несмотря на положения пунктов 1 и 2 настоящего Приложения, при Конверсии валюты всей или любой части Займа на Одобренную валюту, сумма, конвертированная таким образом на Одобренную валюту, которая подлежит погашению на любую Дату погашения основного долга, наступающую в течение Периода конверсии, должна быть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Одобренной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такое решение в соответствии с Руководством по конверсии.</w:t>
      </w:r>
      <w:r>
        <w:br/>
      </w:r>
      <w:r>
        <w:rPr>
          <w:rFonts w:ascii="Times New Roman"/>
          <w:b w:val="false"/>
          <w:i w:val="false"/>
          <w:color w:val="000000"/>
          <w:sz w:val="28"/>
        </w:rPr>
        <w:t>
      5. В случае если Заем номинирован в более чем одной Валюте Займа, положения данного графика применяются отдельно к суммам в каждой из валют Займа, а также для расчета отдельных графиков погашения для каждой из сумм.</w:t>
      </w:r>
    </w:p>
    <w:p>
      <w:pPr>
        <w:spacing w:after="0"/>
        <w:ind w:left="0"/>
        <w:jc w:val="left"/>
      </w:pPr>
      <w:r>
        <w:rPr>
          <w:rFonts w:ascii="Times New Roman"/>
          <w:b/>
          <w:i w:val="false"/>
          <w:color w:val="000000"/>
        </w:rPr>
        <w:t xml:space="preserve"> ДОПОЛНЕНИЕ Раздел I. Определения</w:t>
      </w:r>
    </w:p>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и их обновления в мае 2010 и январе 2011 гг.</w:t>
      </w:r>
      <w:r>
        <w:br/>
      </w:r>
      <w:r>
        <w:rPr>
          <w:rFonts w:ascii="Times New Roman"/>
          <w:b w:val="false"/>
          <w:i w:val="false"/>
          <w:color w:val="000000"/>
          <w:sz w:val="28"/>
        </w:rPr>
        <w:t>
      2. "АРКС" означает Агентство Республики Казахстан по статистике, утвержденное постановлением Правительства РК № 1460 от 31 декабря 2004 года, либо любой его преемник или преемники, и которое, вместе с ГРП ответственно за реализацию Проекта.</w:t>
      </w:r>
      <w:r>
        <w:br/>
      </w:r>
      <w:r>
        <w:rPr>
          <w:rFonts w:ascii="Times New Roman"/>
          <w:b w:val="false"/>
          <w:i w:val="false"/>
          <w:color w:val="000000"/>
          <w:sz w:val="28"/>
        </w:rPr>
        <w:t>
      3.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 и в мае 2010 года.</w:t>
      </w:r>
      <w:r>
        <w:br/>
      </w:r>
      <w:r>
        <w:rPr>
          <w:rFonts w:ascii="Times New Roman"/>
          <w:b w:val="false"/>
          <w:i w:val="false"/>
          <w:color w:val="000000"/>
          <w:sz w:val="28"/>
        </w:rPr>
        <w:t>
      4. "Координационная рабочая группа" или "КРГ" - межведомственная координационная рабочая группа, образованная в соответствии с подпунктом (b) пункта 4.01 статьи IV настоящего Соглашения в целях надзора и мониторинга реализации Проекта.</w:t>
      </w:r>
      <w:r>
        <w:br/>
      </w:r>
      <w:r>
        <w:rPr>
          <w:rFonts w:ascii="Times New Roman"/>
          <w:b w:val="false"/>
          <w:i w:val="false"/>
          <w:color w:val="000000"/>
          <w:sz w:val="28"/>
        </w:rPr>
        <w:t>
      5. "Общие условия" - "Общие условия для займов Международного Банка Реконструкции и Развития" от 31 июля 2010 года</w:t>
      </w:r>
      <w:r>
        <w:br/>
      </w:r>
      <w:r>
        <w:rPr>
          <w:rFonts w:ascii="Times New Roman"/>
          <w:b w:val="false"/>
          <w:i w:val="false"/>
          <w:color w:val="000000"/>
          <w:sz w:val="28"/>
        </w:rPr>
        <w:t>
      6. "Группа по реализации проекта" или "ГРП" означает команду по реализации Проекта, созданную Агентством РК по статистике в соответствии с подпунктом (а) пункта 4.01 статьи IV настоящего Соглашения для реализации Проекта и ежедневного управления Проектом, и которая, кроме прочего, состоит из (i) координатора Проекта; (ii) специалиста по финансовому управлению; и (iii) закупщика.</w:t>
      </w:r>
      <w:r>
        <w:br/>
      </w:r>
      <w:r>
        <w:rPr>
          <w:rFonts w:ascii="Times New Roman"/>
          <w:b w:val="false"/>
          <w:i w:val="false"/>
          <w:color w:val="000000"/>
          <w:sz w:val="28"/>
        </w:rPr>
        <w:t>
      7. "Руководство по закупкам" означает "Руководство по закупкам в рамках займов МБРР и кредитов МАР", опубликованное Банком в мае 2004 года и пересмотренное в октябре 2006 года и в мае 2010 года.</w:t>
      </w:r>
      <w:r>
        <w:br/>
      </w:r>
      <w:r>
        <w:rPr>
          <w:rFonts w:ascii="Times New Roman"/>
          <w:b w:val="false"/>
          <w:i w:val="false"/>
          <w:color w:val="000000"/>
          <w:sz w:val="28"/>
        </w:rPr>
        <w:t>
      8. "План закупок" означает план закупок Заемщика для Проекта от 16 февраля 2011 года,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указанных пунктов.</w:t>
      </w:r>
      <w:r>
        <w:br/>
      </w:r>
      <w:r>
        <w:rPr>
          <w:rFonts w:ascii="Times New Roman"/>
          <w:b w:val="false"/>
          <w:i w:val="false"/>
          <w:color w:val="000000"/>
          <w:sz w:val="28"/>
        </w:rPr>
        <w:t>
      9. "Руководство по реализации Проекта" означает руководство, принятое Заемщиком в соответствии с подпунктом (с) пункта 4.01 статьи IV настоящего Соглашения, определяющее операционные и административные обязанности, процедуры и правила реализации Проекта, включая руководство по процедурам финансового управления, которое излагает процедуры учета, отчетности и аудита, расходов, движения средств и управления специальным счетом по Проекту, в которое периодически могут вноситься изменения по согласованию с Банком.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