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81d1" w14:textId="f428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буксировки судов, плотов и иных плавучих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2011 года № 790. Утратило силу постановлением Правительства Республики Казахстан от 21 ноября 2016 года №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12 мая 2016 года № 423.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«О внутреннем водном транспорте»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буксировки судов, плотов и иных плавучих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790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буксировки судов, плотов и иных плавучих объектов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буксировки судов, плотов и иных плавучих объектов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внутреннем водном транспорте» и определяют порядок и условия буксировки судов, плотов и иных плавучих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 суда, плоты и иные плавучие объекты независимо от их принадлежности, при буксировке на внутренних водных путях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буксировка – транспортировка одного или нескольких плавучих объектов, соединенных вместе и предназначенных для перемещения с помощью специального самоходного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буксируемый объект – судно, плот и иной плавучий объект предъявленный к буксировке;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буксируемый состав – одно или несколько соединенных между собой судов, плотов и иных плавучих объектов, включая буксирующее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буксирующее судно (буксир) – самоходное судно выполняющие работы по буксировке судов, плотов и иных плавучих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буксировщик – лицо, владеющее на праве собственности или иных законных основаниях судном, предоставляющим услуги по буксировке судов, плотов и иных плавучих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отправитель – лицо, которое от своего имени либо на основании договора буксировки вверяет буксировщику суда, плоты и плавучие объекты для их доставки в пункт назначения и сдачи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лицо, уполномоченное на получение судов, плотов и других плавучих объектов на основании транспортной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плот – плавучие сооружения в виде плоской платформы, предназначенное для транспортировки груза или переправы на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законодательством в области внутреннего водного транспорта.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накладной, перевозочных и иных документов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обнаружения дефектов и недостатков, препятствующих буксировке, между буксировщиком и отправителем составляется коммерческий акт согласно Правилам перевозок грузов на внутреннем водном транспорте, утверждаемые Правительством Республики Казахстан, с указанием перечня дефектов и недостатков, а также сроков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или устранении дефектов и недостатков, препятствующих буксировке, стороны составляют акт о готовности буксируемого объекта к буксировке в произвольной форме, на основании которого оформляется транспортная накладная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Отправитель одновременно с предъявлением буксируемого объекта к буксировке представляет заполненную транспортную накладную.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Накладная заполняется отправителем на каждый предъявленный буксируемый объект, направляемый одному получателю и в один пункт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Изменения и дополнения сведений, внесенных в транспортную накладную заверяются подписями отправителя и буксировщика.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буксировок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Буксировка объектов осуществляется в соответствии с договором буксировки судов, плотов и иных плавучих объектов (далее – договор буксировки). Договор буксировки заключается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Отправитель буксируемого объекта обеспечивает необходимую подготовку к буксировке, его техническое оснащение, укомплектование экипажем в соответствии с договором буксировки.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Отправитель перед началом буксировки предъявляет буксировщику свидетельство о годности к плаванию буксируемого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Буксировщик предоставляет к буксировке укомплектованное квалифицированным экипажем, технически оснащенное к буксировке и удовлетворяющее требованиям обеспечения безопасности судоходства буксирующее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Буксирующее судно (буксир) обеспечивается комплектом откорректированных карт по маршруту перехода.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судам, в том числе буксируемому судну, если на нем есть сопровождающие, необходимо иметь ультракоротковолновую - радиостанцию двусторонней радиотелефонной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буксировках буксируемому судну необходимо иметь запасной буксирный трос, равный по длине и разрывной прочности основному.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буксировки буксировщик обеспечивает безопасность плавания, руководствуясь законодательными и иными нормативными правовыми актами Республики Казахстан, регламентирующими деятельность на внутреннем водном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Буксировщик самостоятельно выбирает способ буксировки объекта (методом толкания или буксировки) в зависимости от условий пути, если иное не предусмотрено договором буксировки.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чрезвычайных ситуациях природного и техногенного характера во время буксировки, буксировщику следует принять все меры предосторожности и сохранности буксируемого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оставления буксируемого объекта при чрезвычайных ситуациях природного и техногенного характера буксировщик принимает все возможные меры, чтобы оставленный им буксируемый объект не создал опасности судоходству на данном участке, другим судам, находящимся в этом районе и опасности экологического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транспортного происшествия с буксируемым объектом буксировщик совместно с отправителем принимают меры по уменьшению нанесенного таким происшествием ущерба и ликвидации его последствий.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Оплата услуг по буксировке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Отправитель предъявляет буксируемый объект для буксировки буксировщику и оплачивает ее, в соответствии с договором буксировки судов, плотов и иных плавучих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 отправителя взимается дополнительная плата в размере, определенном в договоре буксировки, в случае, если вспомогательные суда для проводки плотов через затруднительные участки внутренних водных путей предоставляются буксировщиком. 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Предъявления буксируемого объекта для буксировки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Буксируемый объект предъявляется буксировщику отправителем для осмотра в срок, указанного в договоре буксировки, с расчетом времени, необходимого для осмотра до его буксировки. Время предъявления буксируемого объекта для осмотра устанавливается в договоре буксировки исходя из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Буксировщик до приема буксируемого объекта проводит его осмотр, проверяет необходимые для буксировки документы, оснастку (такелаж) и оборудование буксируемого объекта, габариты буксируемого объекта, соответствие буксируемого объекта Правилам плавания по внутреннем водным путям, утверждаемыми Правительством Республики Казахстан, а в отношении плотов – соответствие плота техническим условиям формирования и оснастки плотов.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когда по условиям буксировки управление буксируемым объектом в пути не требуется, а нахождение экипажа на буксируемом объекте является затруднительным или опасным, договором может быть предусмотрено размещение экипажа буксируемого объекта на буксирующем судне.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составу экипажа судна, плотов и иных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плавучих объектов и лицам, осуществляющим буксировку 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укомплектования буксируемого объекта экипажем или проводниками определяется договором буксировки, при этом численность экипажа судна в день его выхода в плавание составляет не менее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минимальном составе экипажа судна,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Члены экипажа буксируемого объекта выполняют распоряжения буксировщика в части обеспечения безопасности судоходства, сохранности буксируемого объекта и принимают меры по предупреждению транспортных происшествий с буксируемым объектом.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Буксировщик при выходе в рейс инструктирует членов экипажа или проводников буксируемых судов, плотов и иных плавучих объектов об их правах и обязанностях, правилах поведения и охраны труда на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пути следования экипаж буксира, проводники или члены экипажа буксируемого судна, плота и иного плавучего объекта осуществляют контроль за состоянием буксируемых судов, плотов и иных плавучих объектов, выполняют при необходимости удаление воды из корпуса и другие работы, связанные с обеспечением сохранности, а также систематически осматривают трюмы судов и плавучих объектов после каждого навала на берег или касания днищем грунта.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Отправления, приема и сдачи буксируемого объекта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Отправитель плотов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вывод их в заранее согласованные с буксировщиком места предъявления для буксировки в сроки, указанные в согласованном между отправителем и буксировщиком и соответствующие условиям договора буксировки;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причальных устройств в пунктах отправления и в пунктах отстоя и переформирования плотов;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переформирование плотов в пути для их прохода под мостами, через шлюзы и другие затруднительные для судоходства участки внутренних водных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проводку плотов вспомогательными судами через затруднительные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профилактический и аварийный ремонт в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Буксировщик извещает получателя о времени прибытия буксируемого объекта в пункт назначения не позднее чем за 24 часа, а также повторно за 6 часов до прибытия буксируемого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Получатель буксируемого объекта указывает буксировщику место постановки буксируемого объекта и место его приема, а также обеспечивает безопасную постановку буксируемого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прибытии буксируемого объекта в пункт назначения буксировщик и получатель совместно осуществляют его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случае, если буксируемый объект доставлен в пункт назначения с признаками повреждения, представителями сторон буксировщика и получателя объекта совместно производится осмотр и оценка повреждений, либо с привлечением независимой оценочной организации по обоюдному соглашению и составляется коммерческий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отношении плотов также производится подсчет единиц платформ под грузы для буксировки, прибывших в исправном состоянии, с указанием в составленном коммерческом акте количества материала из которого были сооружены платформы.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Окончательная сдача и прием материала из поврежденных единиц плотов осуществляются при перемещение из воды на берег или путем осмотра их в воде представителями сторон буксировщика и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Действия, предусмотренные пунктами 31, 32, 33, 34 настоящих Правил, осуществляются не позднее срока указанного в договоре со времени окончания буксировки. 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буксировки судов,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плотов и иных плавучих объектов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______________ шартқа</w:t>
      </w:r>
      <w:r>
        <w:br/>
      </w:r>
      <w:r>
        <w:rPr>
          <w:rFonts w:ascii="Times New Roman"/>
          <w:b/>
          <w:i w:val="false"/>
          <w:color w:val="000000"/>
        </w:rPr>
        <w:t>
көлiк жүкқұжаты</w:t>
      </w:r>
      <w:r>
        <w:br/>
      </w:r>
      <w:r>
        <w:rPr>
          <w:rFonts w:ascii="Times New Roman"/>
          <w:b/>
          <w:i w:val="false"/>
          <w:color w:val="000000"/>
        </w:rPr>
        <w:t>
Транспортная накладная</w:t>
      </w:r>
      <w:r>
        <w:br/>
      </w:r>
      <w:r>
        <w:rPr>
          <w:rFonts w:ascii="Times New Roman"/>
          <w:b/>
          <w:i w:val="false"/>
          <w:color w:val="000000"/>
        </w:rPr>
        <w:t>
к договору №_______ от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1885"/>
        <w:gridCol w:w="1436"/>
        <w:gridCol w:w="1124"/>
        <w:gridCol w:w="1789"/>
        <w:gridCol w:w="2121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пунктi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отправления_____________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(полное наименование)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Межелі пунктi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(полное наименование)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Жөнелтушiнiң почталық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және банктiк деректемелерi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Почтовый адрес и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реквизиты отправителя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Алушының почталық мекенжайы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және банктiк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деректемелерi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Почтовый адрес и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реквизиты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555" w:hRule="atLeast"/>
        </w:trPr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нөмiрi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(название) букси-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Жөнелтушiнiң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белгiлеуi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определению отправителя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Тарифтiк белгiлер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Тарифные отметки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Габарит-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(м)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Габариты (м)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(м.куб)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сүйреу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сүйреу-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ровщика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Осадка ____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закруг-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________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Салдың көлемi және кеменiң суысырғыштығы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Объем плота или водоизмещение судна______________________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(жазумен)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Жинақталған салдағы және құрамдағы жүкқұжатының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накладных в сборном плоту или составе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401"/>
        <w:gridCol w:w="4672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 (салдың, кеменiң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объктiлердің) дайындығы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қауiпсiз жүзуі мен тіркеп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сүйреуге жарамдылығы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___________________жауап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(ұйымның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подготовку объекта (плота,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объектов) и пригодность его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 плавания и буксировки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Тіркеп сүйретiлетiн объектiдегi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қауiпсiз-дiктi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(Т.А.Ә., 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буксируемом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(ФИО,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Қоса берiлген құжаттар: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Приложены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Жөнелтушi: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Отправитель:_______________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(қолы, мөрi)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(подпись, печать)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_______сомада жөнелту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(жазумен) пунктінде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 в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№ ___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в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(прописью)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Тіркеп сүйреу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үдерісіндегi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буксировки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Төлемдер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Всего платежей: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Алынған: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(жазумен)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Получено: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