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a5b5" w14:textId="e06a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Евразийской группе по противодействию легализации преступных доходов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 июля 2011 года № 755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о Евразийской группе по противодействию легализации преступных доходов и финансированию терроризма.</w:t>
      </w:r>
      <w:r>
        <w:br/>
      </w:r>
      <w:r>
        <w:rPr>
          <w:rFonts w:ascii="Times New Roman"/>
          <w:b w:val="false"/>
          <w:i w:val="false"/>
          <w:color w:val="000000"/>
          <w:sz w:val="28"/>
        </w:rPr>
        <w:t>
      2. Уполномочить председателя Комитета по финансовому мониторингу Министерства финансов Республики Казахстан Утебаева Мусиралы Смаиловича подписать от имени Правительства Республики Казахстан Соглашение о Евразийской группе по противодействию легализации преступных доходов и финансированию терроризма,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2011 года № 755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Евразийской группе по противодействию легализации</w:t>
      </w:r>
      <w:r>
        <w:br/>
      </w:r>
      <w:r>
        <w:rPr>
          <w:rFonts w:ascii="Times New Roman"/>
          <w:b/>
          <w:i w:val="false"/>
          <w:color w:val="000000"/>
        </w:rPr>
        <w:t>
преступных доходов и финансированию терроризма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Правительство Китайской Народной Республики, Правительство Кыргызской Республики, Правительство Российской Федерации, Правительство Республики Таджикистан, Правительство Республики Туркменистан и Правительство Республики Узбекистан, далее именуемые Сторонами или государствами-членами,</w:t>
      </w:r>
      <w:r>
        <w:br/>
      </w:r>
      <w:r>
        <w:rPr>
          <w:rFonts w:ascii="Times New Roman"/>
          <w:b w:val="false"/>
          <w:i w:val="false"/>
          <w:color w:val="000000"/>
          <w:sz w:val="28"/>
        </w:rPr>
        <w:t>
      принимая во внимание положения Декларации об учреждении Евразийской группы по противодействию легализации преступных доходов и финансированию терроризма от 6 октября 2004 г. и Вопросов компетенции Евразийской группы по противодействию легализации преступных доходов и финансированию терроризма от 6 октября 2004 г.</w:t>
      </w:r>
      <w:r>
        <w:br/>
      </w:r>
      <w:r>
        <w:rPr>
          <w:rFonts w:ascii="Times New Roman"/>
          <w:b w:val="false"/>
          <w:i w:val="false"/>
          <w:color w:val="000000"/>
          <w:sz w:val="28"/>
        </w:rPr>
        <w:t>
      основываясь на исторически сложившихся между ними отношениях стратегического партнерства и сотрудничества,</w:t>
      </w:r>
      <w:r>
        <w:br/>
      </w:r>
      <w:r>
        <w:rPr>
          <w:rFonts w:ascii="Times New Roman"/>
          <w:b w:val="false"/>
          <w:i w:val="false"/>
          <w:color w:val="000000"/>
          <w:sz w:val="28"/>
        </w:rPr>
        <w:t>
      учитывая опасность, которую представляют действия по легализации (отмыванию) преступных доходов и финансированию терроризма,</w:t>
      </w:r>
      <w:r>
        <w:br/>
      </w:r>
      <w:r>
        <w:rPr>
          <w:rFonts w:ascii="Times New Roman"/>
          <w:b w:val="false"/>
          <w:i w:val="false"/>
          <w:color w:val="000000"/>
          <w:sz w:val="28"/>
        </w:rPr>
        <w:t>
      подтверждая свою приверженность поддержанию экономической безопасности в регионе и заинтересованность в защите национальных финансовых систем от использования преступными элементами,</w:t>
      </w:r>
      <w:r>
        <w:br/>
      </w:r>
      <w:r>
        <w:rPr>
          <w:rFonts w:ascii="Times New Roman"/>
          <w:b w:val="false"/>
          <w:i w:val="false"/>
          <w:color w:val="000000"/>
          <w:sz w:val="28"/>
        </w:rPr>
        <w:t>
      признавая важность широкого международного сотрудничества в сфере противодействия легализации (отмыванию) преступных доходов и финансированию терроризма,</w:t>
      </w:r>
      <w:r>
        <w:br/>
      </w:r>
      <w:r>
        <w:rPr>
          <w:rFonts w:ascii="Times New Roman"/>
          <w:b w:val="false"/>
          <w:i w:val="false"/>
          <w:color w:val="000000"/>
          <w:sz w:val="28"/>
        </w:rPr>
        <w:t>
      выражая заинтересованность в создании на базе Рекомендаций Группы финансовых мер борьбы с отмыванием денег (далее - ФАТФ) и с учетом особенностей региона эффективной системы противодействия легализации (отмыванию) преступных доходов и финансированию терроризма, договорились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Учреждение международной организации</w:t>
      </w:r>
    </w:p>
    <w:p>
      <w:pPr>
        <w:spacing w:after="0"/>
        <w:ind w:left="0"/>
        <w:jc w:val="both"/>
      </w:pPr>
      <w:r>
        <w:rPr>
          <w:rFonts w:ascii="Times New Roman"/>
          <w:b w:val="false"/>
          <w:i w:val="false"/>
          <w:color w:val="000000"/>
          <w:sz w:val="28"/>
        </w:rPr>
        <w:t>      Настоящим Стороны учреждают региональную межправительственную организацию "Евразийская группа по противодействию легализации преступных доходов и финансированию терроризма" (далее - ЕАГ).</w:t>
      </w:r>
    </w:p>
    <w:p>
      <w:pPr>
        <w:spacing w:after="0"/>
        <w:ind w:left="0"/>
        <w:jc w:val="left"/>
      </w:pPr>
      <w:r>
        <w:rPr>
          <w:rFonts w:ascii="Times New Roman"/>
          <w:b/>
          <w:i w:val="false"/>
          <w:color w:val="000000"/>
        </w:rPr>
        <w:t xml:space="preserve"> Статья 2</w:t>
      </w:r>
      <w:r>
        <w:br/>
      </w:r>
      <w:r>
        <w:rPr>
          <w:rFonts w:ascii="Times New Roman"/>
          <w:b/>
          <w:i w:val="false"/>
          <w:color w:val="000000"/>
        </w:rPr>
        <w:t>
Цели и задачи</w:t>
      </w:r>
    </w:p>
    <w:p>
      <w:pPr>
        <w:spacing w:after="0"/>
        <w:ind w:left="0"/>
        <w:jc w:val="both"/>
      </w:pPr>
      <w:r>
        <w:rPr>
          <w:rFonts w:ascii="Times New Roman"/>
          <w:b w:val="false"/>
          <w:i w:val="false"/>
          <w:color w:val="000000"/>
          <w:sz w:val="28"/>
        </w:rPr>
        <w:t>      Основной целью ЕАГ является обеспечение эффективного взаимодействия и сотрудничества на региональном уровне и интеграции государств-членов ЕАГ (далее - государств-членов) в международную систему  противодействия легализации (отмыванию) преступных доходов и финансированию терроризма в соответствии с Рекомендациями ФАТФ и стандартами противодействия легализации (отмыванию) преступных доходов и финансированию терроризма других международных организаций, участниками которых являются государства-члены ЕАГ.</w:t>
      </w:r>
      <w:r>
        <w:br/>
      </w:r>
      <w:r>
        <w:rPr>
          <w:rFonts w:ascii="Times New Roman"/>
          <w:b w:val="false"/>
          <w:i w:val="false"/>
          <w:color w:val="000000"/>
          <w:sz w:val="28"/>
        </w:rPr>
        <w:t>
      Основными задачами ЕАГ являются:</w:t>
      </w:r>
      <w:r>
        <w:br/>
      </w:r>
      <w:r>
        <w:rPr>
          <w:rFonts w:ascii="Times New Roman"/>
          <w:b w:val="false"/>
          <w:i w:val="false"/>
          <w:color w:val="000000"/>
          <w:sz w:val="28"/>
        </w:rPr>
        <w:t>
      содействие во внедрении государствами - членами  40 Рекомендаций ФАТФ в сфере противодействия легализации (отмыванию) преступных доходов и 9 Специальных рекомендаций ФАТФ по борьбе с финансированием терроризма (40+9 рекомендаций ФАТФ);</w:t>
      </w:r>
      <w:r>
        <w:br/>
      </w:r>
      <w:r>
        <w:rPr>
          <w:rFonts w:ascii="Times New Roman"/>
          <w:b w:val="false"/>
          <w:i w:val="false"/>
          <w:color w:val="000000"/>
          <w:sz w:val="28"/>
        </w:rPr>
        <w:t>
      разработка и проведение совместных мероприятий, направленных на противодействие легализации (отмыванию) преступных доходов и финансированию терроризма;</w:t>
      </w:r>
      <w:r>
        <w:br/>
      </w:r>
      <w:r>
        <w:rPr>
          <w:rFonts w:ascii="Times New Roman"/>
          <w:b w:val="false"/>
          <w:i w:val="false"/>
          <w:color w:val="000000"/>
          <w:sz w:val="28"/>
        </w:rPr>
        <w:t>
      осуществление программы взаимной оценки государств-членов  на базе 40+9 Рекомендаций ФАТФ, включая изучение эффективности законодательных и  иных мер, принимаемых в сфере противодействия легализации (отмыванию) преступных доходов и финансированию терроризма;</w:t>
      </w:r>
      <w:r>
        <w:br/>
      </w:r>
      <w:r>
        <w:rPr>
          <w:rFonts w:ascii="Times New Roman"/>
          <w:b w:val="false"/>
          <w:i w:val="false"/>
          <w:color w:val="000000"/>
          <w:sz w:val="28"/>
        </w:rPr>
        <w:t>
      координация программ международного сотрудничества и технического содействия со специализированными международными организациями, структурами и заинтересованными государствами;</w:t>
      </w:r>
      <w:r>
        <w:br/>
      </w:r>
      <w:r>
        <w:rPr>
          <w:rFonts w:ascii="Times New Roman"/>
          <w:b w:val="false"/>
          <w:i w:val="false"/>
          <w:color w:val="000000"/>
          <w:sz w:val="28"/>
        </w:rPr>
        <w:t>
      анализ типологий в сфере легализации (отмывания) преступных доходов и финансирования терроризма и обмен опытом противодействия таким преступлениям с учетом особенностей региона.</w:t>
      </w:r>
    </w:p>
    <w:p>
      <w:pPr>
        <w:spacing w:after="0"/>
        <w:ind w:left="0"/>
        <w:jc w:val="left"/>
      </w:pPr>
      <w:r>
        <w:rPr>
          <w:rFonts w:ascii="Times New Roman"/>
          <w:b/>
          <w:i w:val="false"/>
          <w:color w:val="000000"/>
        </w:rPr>
        <w:t xml:space="preserve"> Статья 3</w:t>
      </w:r>
      <w:r>
        <w:br/>
      </w:r>
      <w:r>
        <w:rPr>
          <w:rFonts w:ascii="Times New Roman"/>
          <w:b/>
          <w:i w:val="false"/>
          <w:color w:val="000000"/>
        </w:rPr>
        <w:t>
Органы</w:t>
      </w:r>
    </w:p>
    <w:p>
      <w:pPr>
        <w:spacing w:after="0"/>
        <w:ind w:left="0"/>
        <w:jc w:val="both"/>
      </w:pPr>
      <w:r>
        <w:rPr>
          <w:rFonts w:ascii="Times New Roman"/>
          <w:b w:val="false"/>
          <w:i w:val="false"/>
          <w:color w:val="000000"/>
          <w:sz w:val="28"/>
        </w:rPr>
        <w:t>      Для выполнения целей и задач настоящего Соглашения в рамках ЕАГ действуют:</w:t>
      </w:r>
      <w:r>
        <w:br/>
      </w:r>
      <w:r>
        <w:rPr>
          <w:rFonts w:ascii="Times New Roman"/>
          <w:b w:val="false"/>
          <w:i w:val="false"/>
          <w:color w:val="000000"/>
          <w:sz w:val="28"/>
        </w:rPr>
        <w:t>
      Пленарное заседание ЕАГ (далее - Пленарное заседание);</w:t>
      </w:r>
      <w:r>
        <w:br/>
      </w:r>
      <w:r>
        <w:rPr>
          <w:rFonts w:ascii="Times New Roman"/>
          <w:b w:val="false"/>
          <w:i w:val="false"/>
          <w:color w:val="000000"/>
          <w:sz w:val="28"/>
        </w:rPr>
        <w:t>
      Секретариат ЕАГ (далее - Секретариат).</w:t>
      </w:r>
    </w:p>
    <w:p>
      <w:pPr>
        <w:spacing w:after="0"/>
        <w:ind w:left="0"/>
        <w:jc w:val="left"/>
      </w:pPr>
      <w:r>
        <w:rPr>
          <w:rFonts w:ascii="Times New Roman"/>
          <w:b/>
          <w:i w:val="false"/>
          <w:color w:val="000000"/>
        </w:rPr>
        <w:t xml:space="preserve"> Статья 4</w:t>
      </w:r>
      <w:r>
        <w:br/>
      </w:r>
      <w:r>
        <w:rPr>
          <w:rFonts w:ascii="Times New Roman"/>
          <w:b/>
          <w:i w:val="false"/>
          <w:color w:val="000000"/>
        </w:rPr>
        <w:t>
Пленарное заседание ЕАГ</w:t>
      </w:r>
    </w:p>
    <w:p>
      <w:pPr>
        <w:spacing w:after="0"/>
        <w:ind w:left="0"/>
        <w:jc w:val="both"/>
      </w:pPr>
      <w:r>
        <w:rPr>
          <w:rFonts w:ascii="Times New Roman"/>
          <w:b w:val="false"/>
          <w:i w:val="false"/>
          <w:color w:val="000000"/>
          <w:sz w:val="28"/>
        </w:rPr>
        <w:t>      Высшим органом ЕАГ является Пленарное заседание, которое проводится, как правило, два раза в год, но не реже одного раза в год. В работе Пленарного заседания принимают участие делегации государств-членов.</w:t>
      </w:r>
      <w:r>
        <w:br/>
      </w:r>
      <w:r>
        <w:rPr>
          <w:rFonts w:ascii="Times New Roman"/>
          <w:b w:val="false"/>
          <w:i w:val="false"/>
          <w:color w:val="000000"/>
          <w:sz w:val="28"/>
        </w:rPr>
        <w:t>
      Пленарное заседание рассматривает принципиальные вопросы, связанные с общими интересами государств-членов ЕАГ, определяет стратегию, направления и принимает решения рекомендательного характера, направленные на реализацию целей и задач ЕАГ.</w:t>
      </w:r>
      <w:r>
        <w:br/>
      </w:r>
      <w:r>
        <w:rPr>
          <w:rFonts w:ascii="Times New Roman"/>
          <w:b w:val="false"/>
          <w:i w:val="false"/>
          <w:color w:val="000000"/>
          <w:sz w:val="28"/>
        </w:rPr>
        <w:t>
      Пленарное заседание в соответствии с правилами процедуры принимает решения по вопросам функционирования организации, предусмотренным настоящим Соглашением.</w:t>
      </w:r>
      <w:r>
        <w:br/>
      </w:r>
      <w:r>
        <w:rPr>
          <w:rFonts w:ascii="Times New Roman"/>
          <w:b w:val="false"/>
          <w:i w:val="false"/>
          <w:color w:val="000000"/>
          <w:sz w:val="28"/>
        </w:rPr>
        <w:t>
      По решению Пленарного заседания могут создаваться Рабочие группы по отдельным направлениям деятельности ЕАГ, которые в соответствии с установленной сферой компетенции представляют отчеты Пленарному заседанию. Порядок формирования и полномочия Рабочих групп ЕАГ определяет Пленарное заседание.</w:t>
      </w:r>
      <w:r>
        <w:br/>
      </w:r>
      <w:r>
        <w:rPr>
          <w:rFonts w:ascii="Times New Roman"/>
          <w:b w:val="false"/>
          <w:i w:val="false"/>
          <w:color w:val="000000"/>
          <w:sz w:val="28"/>
        </w:rPr>
        <w:t>
      Решения Пленарного заседания принимаются государствами-членами ЕАГ консенсусом.</w:t>
      </w:r>
    </w:p>
    <w:p>
      <w:pPr>
        <w:spacing w:after="0"/>
        <w:ind w:left="0"/>
        <w:jc w:val="left"/>
      </w:pPr>
      <w:r>
        <w:rPr>
          <w:rFonts w:ascii="Times New Roman"/>
          <w:b/>
          <w:i w:val="false"/>
          <w:color w:val="000000"/>
        </w:rPr>
        <w:t xml:space="preserve"> Статья 5</w:t>
      </w:r>
      <w:r>
        <w:br/>
      </w:r>
      <w:r>
        <w:rPr>
          <w:rFonts w:ascii="Times New Roman"/>
          <w:b/>
          <w:i w:val="false"/>
          <w:color w:val="000000"/>
        </w:rPr>
        <w:t>
Председательство</w:t>
      </w:r>
    </w:p>
    <w:p>
      <w:pPr>
        <w:spacing w:after="0"/>
        <w:ind w:left="0"/>
        <w:jc w:val="both"/>
      </w:pPr>
      <w:r>
        <w:rPr>
          <w:rFonts w:ascii="Times New Roman"/>
          <w:b w:val="false"/>
          <w:i w:val="false"/>
          <w:color w:val="000000"/>
          <w:sz w:val="28"/>
        </w:rPr>
        <w:t>      Председатель ЕАГ (далее - Председатель) утверждается на двухлетний период решением Пленарного заседания. Кандидатуры на должность Председателя выдвигаются делегациями государств-членов, причем допускается выдвижение как одной, так и нескольких кандидатур.</w:t>
      </w:r>
      <w:r>
        <w:br/>
      </w:r>
      <w:r>
        <w:rPr>
          <w:rFonts w:ascii="Times New Roman"/>
          <w:b w:val="false"/>
          <w:i w:val="false"/>
          <w:color w:val="000000"/>
          <w:sz w:val="28"/>
        </w:rPr>
        <w:t>
      Председатель руководит работой пленарных заседаний и представляет ЕАГ в ее внешних связях. В начале каждого периода председательства Председатель предлагает План действий для утверждения Пленарным заседанием. Данный План отражает задачи и рабочие планы ЕАГ на период его председательства.</w:t>
      </w:r>
      <w:r>
        <w:br/>
      </w:r>
      <w:r>
        <w:rPr>
          <w:rFonts w:ascii="Times New Roman"/>
          <w:b w:val="false"/>
          <w:i w:val="false"/>
          <w:color w:val="000000"/>
          <w:sz w:val="28"/>
        </w:rPr>
        <w:t>
      Решением Пленарного заседания утверждается заместитель Председателя ЕАГ (далее - заместитель Председателя) для замещения Председателя в период его отсутствия и выполнения иных обязанностей, возложенных на него Председателем. Заместитель Председателя утверждается на каждый период председательства на ротационной основе в порядке русского алфавита названий государств-членов.</w:t>
      </w:r>
      <w:r>
        <w:br/>
      </w:r>
      <w:r>
        <w:rPr>
          <w:rFonts w:ascii="Times New Roman"/>
          <w:b w:val="false"/>
          <w:i w:val="false"/>
          <w:color w:val="000000"/>
          <w:sz w:val="28"/>
        </w:rPr>
        <w:t>
      Председателем и заместителем Председателя ЕАГ не могут быть одновременно представители одного и того же государства-члена ЕАГ.</w:t>
      </w:r>
    </w:p>
    <w:p>
      <w:pPr>
        <w:spacing w:after="0"/>
        <w:ind w:left="0"/>
        <w:jc w:val="left"/>
      </w:pPr>
      <w:r>
        <w:rPr>
          <w:rFonts w:ascii="Times New Roman"/>
          <w:b/>
          <w:i w:val="false"/>
          <w:color w:val="000000"/>
        </w:rPr>
        <w:t xml:space="preserve"> Статья 6</w:t>
      </w:r>
      <w:r>
        <w:br/>
      </w:r>
      <w:r>
        <w:rPr>
          <w:rFonts w:ascii="Times New Roman"/>
          <w:b/>
          <w:i w:val="false"/>
          <w:color w:val="000000"/>
        </w:rPr>
        <w:t>
Секретариат ЕАГ</w:t>
      </w:r>
    </w:p>
    <w:p>
      <w:pPr>
        <w:spacing w:after="0"/>
        <w:ind w:left="0"/>
        <w:jc w:val="both"/>
      </w:pPr>
      <w:r>
        <w:rPr>
          <w:rFonts w:ascii="Times New Roman"/>
          <w:b w:val="false"/>
          <w:i w:val="false"/>
          <w:color w:val="000000"/>
          <w:sz w:val="28"/>
        </w:rPr>
        <w:t>      Секретариат выполняет на постоянной основе административно-технические функции в целях реализации решений Пленарного заседания и поручений Председателя.</w:t>
      </w:r>
      <w:r>
        <w:br/>
      </w:r>
      <w:r>
        <w:rPr>
          <w:rFonts w:ascii="Times New Roman"/>
          <w:b w:val="false"/>
          <w:i w:val="false"/>
          <w:color w:val="000000"/>
          <w:sz w:val="28"/>
        </w:rPr>
        <w:t>
      Секретариат возглавляет Исполнительный секретарь, назначаемый решением Пленарного заседания.</w:t>
      </w:r>
      <w:r>
        <w:br/>
      </w:r>
      <w:r>
        <w:rPr>
          <w:rFonts w:ascii="Times New Roman"/>
          <w:b w:val="false"/>
          <w:i w:val="false"/>
          <w:color w:val="000000"/>
          <w:sz w:val="28"/>
        </w:rPr>
        <w:t>
      Порядок формирования, задачи, функции, права и обязанности Секретариата и его сотрудников регулируются Положением о Секретариате Евразийской группы по противодействию легализации преступных доходов и финансированию терроризма, утверждаемым Пленарным заседанием.</w:t>
      </w:r>
      <w:r>
        <w:br/>
      </w:r>
      <w:r>
        <w:rPr>
          <w:rFonts w:ascii="Times New Roman"/>
          <w:b w:val="false"/>
          <w:i w:val="false"/>
          <w:color w:val="000000"/>
          <w:sz w:val="28"/>
        </w:rPr>
        <w:t xml:space="preserve">
      Секретариат формируется из числа граждан государств-членов ЕАГ. При исполнении служебных обязанностей Исполнительный секретарь и персонал Секретариата не должны запрашивать или получать указания от какой бы то ни было Стороны. </w:t>
      </w:r>
      <w:r>
        <w:br/>
      </w:r>
      <w:r>
        <w:rPr>
          <w:rFonts w:ascii="Times New Roman"/>
          <w:b w:val="false"/>
          <w:i w:val="false"/>
          <w:color w:val="000000"/>
          <w:sz w:val="28"/>
        </w:rPr>
        <w:t>
      Действия сотрудников Секретариата не должны противоречить законодательству государств-членов ЕАГ.</w:t>
      </w:r>
      <w:r>
        <w:br/>
      </w:r>
      <w:r>
        <w:rPr>
          <w:rFonts w:ascii="Times New Roman"/>
          <w:b w:val="false"/>
          <w:i w:val="false"/>
          <w:color w:val="000000"/>
          <w:sz w:val="28"/>
        </w:rPr>
        <w:t>
      Стороны обязуются уважать международный характер обязанностей Исполнительного секретаря и персонала Секретариата и не пытаться оказывать на них влияние при исполнении ими служебных обязанностей. Местом расположения Секретариата является город Москва, Российская Федерация. Условия пребывания Секретариата на территории Российской Федерации регулируются на основе соответствующего международного договора.</w:t>
      </w:r>
    </w:p>
    <w:p>
      <w:pPr>
        <w:spacing w:after="0"/>
        <w:ind w:left="0"/>
        <w:jc w:val="left"/>
      </w:pPr>
      <w:r>
        <w:rPr>
          <w:rFonts w:ascii="Times New Roman"/>
          <w:b/>
          <w:i w:val="false"/>
          <w:color w:val="000000"/>
        </w:rPr>
        <w:t xml:space="preserve"> Статья 7</w:t>
      </w:r>
      <w:r>
        <w:br/>
      </w:r>
      <w:r>
        <w:rPr>
          <w:rFonts w:ascii="Times New Roman"/>
          <w:b/>
          <w:i w:val="false"/>
          <w:color w:val="000000"/>
        </w:rPr>
        <w:t>
Членство</w:t>
      </w:r>
    </w:p>
    <w:p>
      <w:pPr>
        <w:spacing w:after="0"/>
        <w:ind w:left="0"/>
        <w:jc w:val="both"/>
      </w:pPr>
      <w:r>
        <w:rPr>
          <w:rFonts w:ascii="Times New Roman"/>
          <w:b w:val="false"/>
          <w:i w:val="false"/>
          <w:color w:val="000000"/>
          <w:sz w:val="28"/>
        </w:rPr>
        <w:t>      Государство становится членом ЕАГ с даты получения депозитарием его уведомления о выполнении внутригосударственных процедур по присоединению к настоящему Соглашению.</w:t>
      </w:r>
      <w:r>
        <w:br/>
      </w:r>
      <w:r>
        <w:rPr>
          <w:rFonts w:ascii="Times New Roman"/>
          <w:b w:val="false"/>
          <w:i w:val="false"/>
          <w:color w:val="000000"/>
          <w:sz w:val="28"/>
        </w:rPr>
        <w:t>
      Членство в ЕАГ открыто для других государств Евразийского региона, которые:</w:t>
      </w:r>
      <w:r>
        <w:br/>
      </w:r>
      <w:r>
        <w:rPr>
          <w:rFonts w:ascii="Times New Roman"/>
          <w:b w:val="false"/>
          <w:i w:val="false"/>
          <w:color w:val="000000"/>
          <w:sz w:val="28"/>
        </w:rPr>
        <w:t>
      предпринимают активные шаги по разработке и применению законодательства по противодействию легализации (отмыванию) преступных доходов и финансированию терроризма, соответствующего 40+9 рекомендациям ФАТФ;</w:t>
      </w:r>
      <w:r>
        <w:br/>
      </w:r>
      <w:r>
        <w:rPr>
          <w:rFonts w:ascii="Times New Roman"/>
          <w:b w:val="false"/>
          <w:i w:val="false"/>
          <w:color w:val="000000"/>
          <w:sz w:val="28"/>
        </w:rPr>
        <w:t>
      принимают на себя обязательство участвовать в программах взаимных оценок ЕАГ;</w:t>
      </w:r>
      <w:r>
        <w:br/>
      </w:r>
      <w:r>
        <w:rPr>
          <w:rFonts w:ascii="Times New Roman"/>
          <w:b w:val="false"/>
          <w:i w:val="false"/>
          <w:color w:val="000000"/>
          <w:sz w:val="28"/>
        </w:rPr>
        <w:t>
      принимают на себя обязательства по настоящему соглашению.</w:t>
      </w:r>
      <w:r>
        <w:br/>
      </w:r>
      <w:r>
        <w:rPr>
          <w:rFonts w:ascii="Times New Roman"/>
          <w:b w:val="false"/>
          <w:i w:val="false"/>
          <w:color w:val="000000"/>
          <w:sz w:val="28"/>
        </w:rPr>
        <w:t>
      Государство, изъявившее, желание стать членом ЕАГ, должно обратиться через Секретариат с соответствующим заявлением к Пленарному заседанию, которое принимает решение о приеме этого государства в члены ЕАГ.</w:t>
      </w:r>
      <w:r>
        <w:br/>
      </w:r>
      <w:r>
        <w:rPr>
          <w:rFonts w:ascii="Times New Roman"/>
          <w:b w:val="false"/>
          <w:i w:val="false"/>
          <w:color w:val="000000"/>
          <w:sz w:val="28"/>
        </w:rPr>
        <w:t>
      Государства, получившие статус члена, получают право голоса при принятии решений на Пленарных заседаниях, а также принимают на себя обязательство ежегодно вносить членские взносы в бюджет ЕАГ.</w:t>
      </w:r>
      <w:r>
        <w:br/>
      </w:r>
      <w:r>
        <w:rPr>
          <w:rFonts w:ascii="Times New Roman"/>
          <w:b w:val="false"/>
          <w:i w:val="false"/>
          <w:color w:val="000000"/>
          <w:sz w:val="28"/>
        </w:rPr>
        <w:t>
      Участие в работе органов ЕАГ Стороны, нарушающей положения настоящего Соглашения и / или соглашений, действующих в рамках ЕАГ, может быть приостановлено решением Пленарного заседания. При этом такая Сторона лишается права голоса при рассмотрении вопроса о приостановлении ее членства. Если эта Сторона продолжает нарушать свои обязательства, Пленарное заседание может принять решение о ее исключении из ЕАГ с даты, которую определяет само Пленарное заседание.</w:t>
      </w:r>
    </w:p>
    <w:p>
      <w:pPr>
        <w:spacing w:after="0"/>
        <w:ind w:left="0"/>
        <w:jc w:val="left"/>
      </w:pPr>
      <w:r>
        <w:rPr>
          <w:rFonts w:ascii="Times New Roman"/>
          <w:b/>
          <w:i w:val="false"/>
          <w:color w:val="000000"/>
        </w:rPr>
        <w:t xml:space="preserve"> Статья 8</w:t>
      </w:r>
      <w:r>
        <w:br/>
      </w:r>
      <w:r>
        <w:rPr>
          <w:rFonts w:ascii="Times New Roman"/>
          <w:b/>
          <w:i w:val="false"/>
          <w:color w:val="000000"/>
        </w:rPr>
        <w:t>
Наблюдатели</w:t>
      </w:r>
    </w:p>
    <w:p>
      <w:pPr>
        <w:spacing w:after="0"/>
        <w:ind w:left="0"/>
        <w:jc w:val="both"/>
      </w:pPr>
      <w:r>
        <w:rPr>
          <w:rFonts w:ascii="Times New Roman"/>
          <w:b w:val="false"/>
          <w:i w:val="false"/>
          <w:color w:val="000000"/>
          <w:sz w:val="28"/>
        </w:rPr>
        <w:t>      Государство или организация, изъявившие желание получить статус наблюдателя при ЕАГ (далее - статус наблюдателя), должны обратиться с соответствующим заявлением к Пленарному заседанию через Секретариат.</w:t>
      </w:r>
      <w:r>
        <w:br/>
      </w:r>
      <w:r>
        <w:rPr>
          <w:rFonts w:ascii="Times New Roman"/>
          <w:b w:val="false"/>
          <w:i w:val="false"/>
          <w:color w:val="000000"/>
          <w:sz w:val="28"/>
        </w:rPr>
        <w:t>
      Секретариат направляет данный запрос в государства-члены для изучения заявления государства или организации, изъявившей желание получить статус наблюдателя. В случае необходимости государства-члены имеют право дополнительно запрашивать у них документы, не являющиеся конфиденциальными. Решение о предоставлении (приостановке, аннулировании) статуса наблюдателя при ЕАГ, после рассмотрения заявления в установленном порядке, принимается Пленарным заседанием.</w:t>
      </w:r>
      <w:r>
        <w:br/>
      </w:r>
      <w:r>
        <w:rPr>
          <w:rFonts w:ascii="Times New Roman"/>
          <w:b w:val="false"/>
          <w:i w:val="false"/>
          <w:color w:val="000000"/>
          <w:sz w:val="28"/>
        </w:rPr>
        <w:t>
      При рассмотрении заявления о предоставлении статуса наблюдателя на Пленарное заседание могут быть приглашены представители государства или организации, подавшие соответствующее заявление. Решение о предоставлении статуса наблюдателя принимается на основе консенсуса. Принятое решение в недельный срок направляется Секретариатом соответствующему государству или организации.</w:t>
      </w:r>
      <w:r>
        <w:br/>
      </w:r>
      <w:r>
        <w:rPr>
          <w:rFonts w:ascii="Times New Roman"/>
          <w:b w:val="false"/>
          <w:i w:val="false"/>
          <w:color w:val="000000"/>
          <w:sz w:val="28"/>
        </w:rPr>
        <w:t>
      Статус наблюдателя не дает права голоса при принятии решений на Пленарном заседании и права подписи документов ЕАГ.</w:t>
      </w:r>
      <w:r>
        <w:br/>
      </w:r>
      <w:r>
        <w:rPr>
          <w:rFonts w:ascii="Times New Roman"/>
          <w:b w:val="false"/>
          <w:i w:val="false"/>
          <w:color w:val="000000"/>
          <w:sz w:val="28"/>
        </w:rPr>
        <w:t>
      Государство или организация, получившие статус наблюдателя, имеют право:</w:t>
      </w:r>
      <w:r>
        <w:br/>
      </w:r>
      <w:r>
        <w:rPr>
          <w:rFonts w:ascii="Times New Roman"/>
          <w:b w:val="false"/>
          <w:i w:val="false"/>
          <w:color w:val="000000"/>
          <w:sz w:val="28"/>
        </w:rPr>
        <w:t>
      принимать участие в заседаниях Рабочих групп и Пленарном заседании;</w:t>
      </w:r>
      <w:r>
        <w:br/>
      </w:r>
      <w:r>
        <w:rPr>
          <w:rFonts w:ascii="Times New Roman"/>
          <w:b w:val="false"/>
          <w:i w:val="false"/>
          <w:color w:val="000000"/>
          <w:sz w:val="28"/>
        </w:rPr>
        <w:t>
      распространять через Секретариат письменные заявления на рабочих языках ЕАГ по интересующим их вопросам, входящим в компетенцию ЕАГ;</w:t>
      </w:r>
      <w:r>
        <w:br/>
      </w:r>
      <w:r>
        <w:rPr>
          <w:rFonts w:ascii="Times New Roman"/>
          <w:b w:val="false"/>
          <w:i w:val="false"/>
          <w:color w:val="000000"/>
          <w:sz w:val="28"/>
        </w:rPr>
        <w:t>
      получать по мере необходимости открытые документы и решения, принимаемые ЕАГ.</w:t>
      </w:r>
      <w:r>
        <w:br/>
      </w:r>
      <w:r>
        <w:rPr>
          <w:rFonts w:ascii="Times New Roman"/>
          <w:b w:val="false"/>
          <w:i w:val="false"/>
          <w:color w:val="000000"/>
          <w:sz w:val="28"/>
        </w:rPr>
        <w:t>
      Государство или организация, получившие статус наблюдателя, представляют по запросу Секретариата необходимые документы, не являющиеся конфиденциальными, связанные с их участием в качестве наблюдателей в работе ЕАГ.</w:t>
      </w:r>
      <w:r>
        <w:br/>
      </w:r>
      <w:r>
        <w:rPr>
          <w:rFonts w:ascii="Times New Roman"/>
          <w:b w:val="false"/>
          <w:i w:val="false"/>
          <w:color w:val="000000"/>
          <w:sz w:val="28"/>
        </w:rPr>
        <w:t>
      Государство или организация, получившие статус наблюдателя, обязаны ежегодно предоставлять письменные отчеты о своей деятельности в сфере противодействия легализации (отмыванию) преступных доходов и финансированию терроризма и работе в ЕАГ, в т.ч. с государствами-членами ЕАГ.</w:t>
      </w:r>
      <w:r>
        <w:br/>
      </w:r>
      <w:r>
        <w:rPr>
          <w:rFonts w:ascii="Times New Roman"/>
          <w:b w:val="false"/>
          <w:i w:val="false"/>
          <w:color w:val="000000"/>
          <w:sz w:val="28"/>
        </w:rPr>
        <w:t>
      Государство или организация, получившие статус наблюдателя, извещают Секретариат о своем намерении принять участие в заседаниях Рабочих групп и Пленарном заседании не позднее, чем за 10 рабочих дней до начала заседания.</w:t>
      </w:r>
      <w:r>
        <w:br/>
      </w:r>
      <w:r>
        <w:rPr>
          <w:rFonts w:ascii="Times New Roman"/>
          <w:b w:val="false"/>
          <w:i w:val="false"/>
          <w:color w:val="000000"/>
          <w:sz w:val="28"/>
        </w:rPr>
        <w:t>
      Государство или организация, получившие статус наблюдателя, воздерживаются от действий и заявлений, направленных против интересов ЕАГ в реализации ее целей и задач, установленных статьей 2 настоящего Соглашения, или ее государств-членов в реализации их обязанностей, установленных статьей 7 настоящего Соглашения.</w:t>
      </w:r>
      <w:r>
        <w:br/>
      </w:r>
      <w:r>
        <w:rPr>
          <w:rFonts w:ascii="Times New Roman"/>
          <w:b w:val="false"/>
          <w:i w:val="false"/>
          <w:color w:val="000000"/>
          <w:sz w:val="28"/>
        </w:rPr>
        <w:t>
      В случае совершения государством или организацией, получившими статус наблюдателя, действий и заявлений против интересов ЕАГ в реализации ее целей и задач в соответствии с настоящим Соглашением, государства-члены вправе внести на очередное Пленарное заседание вопрос о приостановке или аннулировании статуса наблюдателя. В случае если государство или организация, получившая статус наблюдателя, не участвует в деятельности ЕАГ в течение двух лет, то государства-члены вправе внести на очередное Пленарное заседание вопрос о приостановке или аннулировании статуса наблюдателя.</w:t>
      </w:r>
      <w:r>
        <w:br/>
      </w:r>
      <w:r>
        <w:rPr>
          <w:rFonts w:ascii="Times New Roman"/>
          <w:b w:val="false"/>
          <w:i w:val="false"/>
          <w:color w:val="000000"/>
          <w:sz w:val="28"/>
        </w:rPr>
        <w:t>
      Государство или организация, получившие статус наблюдателя, вправе направить в Секретариат заявление об отказе от статуса наблюдателя, по которому принимается соответствующее решение на очередном Пленарном заседании.</w:t>
      </w:r>
      <w:r>
        <w:br/>
      </w:r>
      <w:r>
        <w:rPr>
          <w:rFonts w:ascii="Times New Roman"/>
          <w:b w:val="false"/>
          <w:i w:val="false"/>
          <w:color w:val="000000"/>
          <w:sz w:val="28"/>
        </w:rPr>
        <w:t>
      Дипломатические представительства государств-наблюдателей, а также представительства международных организаций вправе поддерживать постоянные контакты с Секретариатом по вопросам, связанным с их участием в качестве наблюдателей в работе ЕАГ.</w:t>
      </w:r>
      <w:r>
        <w:br/>
      </w:r>
      <w:r>
        <w:rPr>
          <w:rFonts w:ascii="Times New Roman"/>
          <w:b w:val="false"/>
          <w:i w:val="false"/>
          <w:color w:val="000000"/>
          <w:sz w:val="28"/>
        </w:rPr>
        <w:t>
      При соответствующем информировании Секретариата государства и организации наблюдатели могут оказывать государствам-членам содействие как в подготовке кадров и повышении их квалификации, обмене опытом и специалистами, материально-техническом обеспечении, так и финансовую помощь для достижения поставленных задач перед ЕАГ.</w:t>
      </w:r>
    </w:p>
    <w:p>
      <w:pPr>
        <w:spacing w:after="0"/>
        <w:ind w:left="0"/>
        <w:jc w:val="left"/>
      </w:pPr>
      <w:r>
        <w:rPr>
          <w:rFonts w:ascii="Times New Roman"/>
          <w:b/>
          <w:i w:val="false"/>
          <w:color w:val="000000"/>
        </w:rPr>
        <w:t xml:space="preserve"> Статья 9</w:t>
      </w:r>
      <w:r>
        <w:br/>
      </w:r>
      <w:r>
        <w:rPr>
          <w:rFonts w:ascii="Times New Roman"/>
          <w:b/>
          <w:i w:val="false"/>
          <w:color w:val="000000"/>
        </w:rPr>
        <w:t>
Финансирование</w:t>
      </w:r>
    </w:p>
    <w:p>
      <w:pPr>
        <w:spacing w:after="0"/>
        <w:ind w:left="0"/>
        <w:jc w:val="both"/>
      </w:pPr>
      <w:r>
        <w:rPr>
          <w:rFonts w:ascii="Times New Roman"/>
          <w:b w:val="false"/>
          <w:i w:val="false"/>
          <w:color w:val="000000"/>
          <w:sz w:val="28"/>
        </w:rPr>
        <w:t>      ЕАГ имеет собственный бюджет, который формируется и исполняется в соответствии с Положением о порядке формирования и исполнения бюджета Евразийской группы по противодействию легализации преступных доходов и финансированию терроризма, являющимся приложением к настоящему Соглашению и составляющим его неотъемлемую часть. Порядок определения взносов, ежегодно вносимых государствами членами в бюджет ЕАГ на принципах долевого участия, определяется названным Положением.</w:t>
      </w:r>
    </w:p>
    <w:p>
      <w:pPr>
        <w:spacing w:after="0"/>
        <w:ind w:left="0"/>
        <w:jc w:val="left"/>
      </w:pPr>
      <w:r>
        <w:rPr>
          <w:rFonts w:ascii="Times New Roman"/>
          <w:b/>
          <w:i w:val="false"/>
          <w:color w:val="000000"/>
        </w:rPr>
        <w:t xml:space="preserve"> Статья 10</w:t>
      </w:r>
      <w:r>
        <w:br/>
      </w:r>
      <w:r>
        <w:rPr>
          <w:rFonts w:ascii="Times New Roman"/>
          <w:b/>
          <w:i w:val="false"/>
          <w:color w:val="000000"/>
        </w:rPr>
        <w:t>
Рабочий язык</w:t>
      </w:r>
    </w:p>
    <w:p>
      <w:pPr>
        <w:spacing w:after="0"/>
        <w:ind w:left="0"/>
        <w:jc w:val="both"/>
      </w:pPr>
      <w:r>
        <w:rPr>
          <w:rFonts w:ascii="Times New Roman"/>
          <w:b w:val="false"/>
          <w:i w:val="false"/>
          <w:color w:val="000000"/>
          <w:sz w:val="28"/>
        </w:rPr>
        <w:t>      Рабочими языками ЕАГ являются русский, английский и китайский.</w:t>
      </w:r>
    </w:p>
    <w:p>
      <w:pPr>
        <w:spacing w:after="0"/>
        <w:ind w:left="0"/>
        <w:jc w:val="left"/>
      </w:pPr>
      <w:r>
        <w:rPr>
          <w:rFonts w:ascii="Times New Roman"/>
          <w:b/>
          <w:i w:val="false"/>
          <w:color w:val="000000"/>
        </w:rPr>
        <w:t xml:space="preserve"> Статья 11</w:t>
      </w:r>
      <w:r>
        <w:br/>
      </w:r>
      <w:r>
        <w:rPr>
          <w:rFonts w:ascii="Times New Roman"/>
          <w:b/>
          <w:i w:val="false"/>
          <w:color w:val="000000"/>
        </w:rPr>
        <w:t>
Порядок разрешения спорных вопросов</w:t>
      </w:r>
    </w:p>
    <w:p>
      <w:pPr>
        <w:spacing w:after="0"/>
        <w:ind w:left="0"/>
        <w:jc w:val="both"/>
      </w:pPr>
      <w:r>
        <w:rPr>
          <w:rFonts w:ascii="Times New Roman"/>
          <w:b w:val="false"/>
          <w:i w:val="false"/>
          <w:color w:val="000000"/>
          <w:sz w:val="28"/>
        </w:rPr>
        <w:t>      В случае возникновения споров, связанных с толкованием и применением настоящего Соглашения, Стороны разрешают их путем консультаций и переговоров.</w:t>
      </w:r>
    </w:p>
    <w:p>
      <w:pPr>
        <w:spacing w:after="0"/>
        <w:ind w:left="0"/>
        <w:jc w:val="left"/>
      </w:pPr>
      <w:r>
        <w:rPr>
          <w:rFonts w:ascii="Times New Roman"/>
          <w:b/>
          <w:i w:val="false"/>
          <w:color w:val="000000"/>
        </w:rPr>
        <w:t xml:space="preserve"> Статья 12</w:t>
      </w:r>
      <w:r>
        <w:br/>
      </w:r>
      <w:r>
        <w:rPr>
          <w:rFonts w:ascii="Times New Roman"/>
          <w:b/>
          <w:i w:val="false"/>
          <w:color w:val="000000"/>
        </w:rPr>
        <w:t>
Срок действия и вступление в силу</w:t>
      </w:r>
    </w:p>
    <w:p>
      <w:pPr>
        <w:spacing w:after="0"/>
        <w:ind w:left="0"/>
        <w:jc w:val="both"/>
      </w:pPr>
      <w:r>
        <w:rPr>
          <w:rFonts w:ascii="Times New Roman"/>
          <w:b w:val="false"/>
          <w:i w:val="false"/>
          <w:color w:val="000000"/>
          <w:sz w:val="28"/>
        </w:rPr>
        <w:t>      Настоящее Соглашение заключается на неопределенный срок. Настоящее Соглашение вступает в силу через 30 дней с даты передачи  депозитарию, которым является Секретариат, третьего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Стороны, подписавшей настоящее Соглашение, но не выполнившей внутригосударственные процедуры до вступления в силу настоящего Соглашения, оно вступает в силу с даты получения депозитарием уведомления о выполнении этой Стороной внутригосударственных процедур, необходимых для вступления настоящего Соглашения в силу.</w:t>
      </w:r>
    </w:p>
    <w:p>
      <w:pPr>
        <w:spacing w:after="0"/>
        <w:ind w:left="0"/>
        <w:jc w:val="left"/>
      </w:pPr>
      <w:r>
        <w:rPr>
          <w:rFonts w:ascii="Times New Roman"/>
          <w:b/>
          <w:i w:val="false"/>
          <w:color w:val="000000"/>
        </w:rPr>
        <w:t xml:space="preserve"> Статья 13</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которые оформляются отдельным протоколом, который вступает в силу в соответствии с порядком, определяемым статьей 12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Порядок выхода</w:t>
      </w:r>
    </w:p>
    <w:p>
      <w:pPr>
        <w:spacing w:after="0"/>
        <w:ind w:left="0"/>
        <w:jc w:val="both"/>
      </w:pPr>
      <w:r>
        <w:rPr>
          <w:rFonts w:ascii="Times New Roman"/>
          <w:b w:val="false"/>
          <w:i w:val="false"/>
          <w:color w:val="000000"/>
          <w:sz w:val="28"/>
        </w:rPr>
        <w:t>      Любая Сторона вправе выйти из состава ЕАГ, предварительно урегулировав свои обязательства перед ЕАГ и его членами и направив в Секретариат официальное уведомление о выходе из настоящего Соглашения не позднее, чем за двенадцать месяцев до даты выхода.</w:t>
      </w:r>
    </w:p>
    <w:p>
      <w:pPr>
        <w:spacing w:after="0"/>
        <w:ind w:left="0"/>
        <w:jc w:val="both"/>
      </w:pPr>
      <w:r>
        <w:rPr>
          <w:rFonts w:ascii="Times New Roman"/>
          <w:b w:val="false"/>
          <w:i w:val="false"/>
          <w:color w:val="000000"/>
          <w:sz w:val="28"/>
        </w:rPr>
        <w:t>      Совершено в городе ________ "___" ____________ 2011 года в одном экземпляре на русском, английском и китайском языках, причем все тексты имеют одинаковую юридическую силу. Подлинный экземпляр Соглашения хранится в депозитарии, который направит каждой Стороне его заверенную копию.</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Российской</w:t>
      </w:r>
      <w:r>
        <w:br/>
      </w:r>
      <w:r>
        <w:rPr>
          <w:rFonts w:ascii="Times New Roman"/>
          <w:b w:val="false"/>
          <w:i w:val="false"/>
          <w:color w:val="000000"/>
          <w:sz w:val="28"/>
        </w:rPr>
        <w:t>
</w:t>
      </w:r>
      <w:r>
        <w:rPr>
          <w:rFonts w:ascii="Times New Roman"/>
          <w:b w:val="false"/>
          <w:i/>
          <w:color w:val="000000"/>
          <w:sz w:val="28"/>
        </w:rPr>
        <w:t>              Беларусь                       Федерации</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w:t>
      </w:r>
      <w:r>
        <w:br/>
      </w:r>
      <w:r>
        <w:rPr>
          <w:rFonts w:ascii="Times New Roman"/>
          <w:b w:val="false"/>
          <w:i w:val="false"/>
          <w:color w:val="000000"/>
          <w:sz w:val="28"/>
        </w:rPr>
        <w:t>
</w:t>
      </w:r>
      <w:r>
        <w:rPr>
          <w:rFonts w:ascii="Times New Roman"/>
          <w:b w:val="false"/>
          <w:i/>
          <w:color w:val="000000"/>
          <w:sz w:val="28"/>
        </w:rPr>
        <w:t>             Казахстан                     Таджикистан</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Правительство                   Правительство</w:t>
      </w:r>
      <w:r>
        <w:br/>
      </w:r>
      <w:r>
        <w:rPr>
          <w:rFonts w:ascii="Times New Roman"/>
          <w:b w:val="false"/>
          <w:i w:val="false"/>
          <w:color w:val="000000"/>
          <w:sz w:val="28"/>
        </w:rPr>
        <w:t>
</w:t>
      </w:r>
      <w:r>
        <w:rPr>
          <w:rFonts w:ascii="Times New Roman"/>
          <w:b w:val="false"/>
          <w:i/>
          <w:color w:val="000000"/>
          <w:sz w:val="28"/>
        </w:rPr>
        <w:t>         Китайской Народной                  Республики</w:t>
      </w:r>
      <w:r>
        <w:br/>
      </w:r>
      <w:r>
        <w:rPr>
          <w:rFonts w:ascii="Times New Roman"/>
          <w:b w:val="false"/>
          <w:i w:val="false"/>
          <w:color w:val="000000"/>
          <w:sz w:val="28"/>
        </w:rPr>
        <w:t>
</w:t>
      </w:r>
      <w:r>
        <w:rPr>
          <w:rFonts w:ascii="Times New Roman"/>
          <w:b w:val="false"/>
          <w:i/>
          <w:color w:val="000000"/>
          <w:sz w:val="28"/>
        </w:rPr>
        <w:t>             Республики                     Туркменистан</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Правительство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r>
        <w:br/>
      </w:r>
      <w:r>
        <w:rPr>
          <w:rFonts w:ascii="Times New Roman"/>
          <w:b w:val="false"/>
          <w:i w:val="false"/>
          <w:color w:val="000000"/>
          <w:sz w:val="28"/>
        </w:rPr>
        <w:t>
</w:t>
      </w:r>
      <w:r>
        <w:rPr>
          <w:rFonts w:ascii="Times New Roman"/>
          <w:b w:val="false"/>
          <w:i/>
          <w:color w:val="000000"/>
          <w:sz w:val="28"/>
        </w:rPr>
        <w:t>            Республики                      Узбекистан</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Евразийской группе    </w:t>
      </w:r>
      <w:r>
        <w:br/>
      </w:r>
      <w:r>
        <w:rPr>
          <w:rFonts w:ascii="Times New Roman"/>
          <w:b w:val="false"/>
          <w:i w:val="false"/>
          <w:color w:val="000000"/>
          <w:sz w:val="28"/>
        </w:rPr>
        <w:t>
по противодействию легализации преступных</w:t>
      </w:r>
      <w:r>
        <w:br/>
      </w:r>
      <w:r>
        <w:rPr>
          <w:rFonts w:ascii="Times New Roman"/>
          <w:b w:val="false"/>
          <w:i w:val="false"/>
          <w:color w:val="000000"/>
          <w:sz w:val="28"/>
        </w:rPr>
        <w:t xml:space="preserve">
доходов и финансированию терроризма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формирования и исполнения бюджета</w:t>
      </w:r>
      <w:r>
        <w:br/>
      </w:r>
      <w:r>
        <w:rPr>
          <w:rFonts w:ascii="Times New Roman"/>
          <w:b/>
          <w:i w:val="false"/>
          <w:color w:val="000000"/>
        </w:rPr>
        <w:t>
Евразийской группы по противодействию легализации преступных</w:t>
      </w:r>
      <w:r>
        <w:br/>
      </w:r>
      <w:r>
        <w:rPr>
          <w:rFonts w:ascii="Times New Roman"/>
          <w:b/>
          <w:i w:val="false"/>
          <w:color w:val="000000"/>
        </w:rPr>
        <w:t>
доходов и финансированию терроризма 1. Общие положения</w:t>
      </w:r>
    </w:p>
    <w:p>
      <w:pPr>
        <w:spacing w:after="0"/>
        <w:ind w:left="0"/>
        <w:jc w:val="both"/>
      </w:pPr>
      <w:r>
        <w:rPr>
          <w:rFonts w:ascii="Times New Roman"/>
          <w:b w:val="false"/>
          <w:i w:val="false"/>
          <w:color w:val="000000"/>
          <w:sz w:val="28"/>
        </w:rPr>
        <w:t>      1. Для целей настоящего Положения используются следующие основные понятия:</w:t>
      </w:r>
      <w:r>
        <w:br/>
      </w:r>
      <w:r>
        <w:rPr>
          <w:rFonts w:ascii="Times New Roman"/>
          <w:b w:val="false"/>
          <w:i w:val="false"/>
          <w:color w:val="000000"/>
          <w:sz w:val="28"/>
        </w:rPr>
        <w:t>
      а) ЕАГ - Евразийская группа по противодействию легализации преступных доходов и финансированию терроризма (далее - ЕАГ);</w:t>
      </w:r>
      <w:r>
        <w:br/>
      </w:r>
      <w:r>
        <w:rPr>
          <w:rFonts w:ascii="Times New Roman"/>
          <w:b w:val="false"/>
          <w:i w:val="false"/>
          <w:color w:val="000000"/>
          <w:sz w:val="28"/>
        </w:rPr>
        <w:t>
      б) бюджет - (регулярный) форма образования и использования денежных средств, предназначенных для финансового обеспечения задач и функций ЕАГ;</w:t>
      </w:r>
      <w:r>
        <w:br/>
      </w:r>
      <w:r>
        <w:rPr>
          <w:rFonts w:ascii="Times New Roman"/>
          <w:b w:val="false"/>
          <w:i w:val="false"/>
          <w:color w:val="000000"/>
          <w:sz w:val="28"/>
        </w:rPr>
        <w:t>
      в) финансовый год - период с 1 января по 31 декабря календарного года включительно;</w:t>
      </w:r>
      <w:r>
        <w:br/>
      </w:r>
      <w:r>
        <w:rPr>
          <w:rFonts w:ascii="Times New Roman"/>
          <w:b w:val="false"/>
          <w:i w:val="false"/>
          <w:color w:val="000000"/>
          <w:sz w:val="28"/>
        </w:rPr>
        <w:t>
      г) долевые взносы - суммы, установленные для государств-членов ЕАГ для финансирования расходов, связанных с деятельностью ЕАГ в данном финансовом году;</w:t>
      </w:r>
      <w:r>
        <w:br/>
      </w:r>
      <w:r>
        <w:rPr>
          <w:rFonts w:ascii="Times New Roman"/>
          <w:b w:val="false"/>
          <w:i w:val="false"/>
          <w:color w:val="000000"/>
          <w:sz w:val="28"/>
        </w:rPr>
        <w:t>
      д) внутренний аудит - контроль за формированием расходов, выявление отклонений от плановых показателей и нормативов, анализ причин отклонений, поиск резервов финансово-хозяйственной деятельности  и обеспечение необходимой информацией Исполнительного секретаря ЕАГ (далее Исполнительный секретарь);</w:t>
      </w:r>
      <w:r>
        <w:br/>
      </w:r>
      <w:r>
        <w:rPr>
          <w:rFonts w:ascii="Times New Roman"/>
          <w:b w:val="false"/>
          <w:i w:val="false"/>
          <w:color w:val="000000"/>
          <w:sz w:val="28"/>
        </w:rPr>
        <w:t>
      е) внешний аудит - проверка финансово-хозяйственной деятельности ЕАГ, осуществляемая лицом (лицами) или институтом, назначенным (назначенными) Пленарным заседанием;</w:t>
      </w:r>
      <w:r>
        <w:br/>
      </w:r>
      <w:r>
        <w:rPr>
          <w:rFonts w:ascii="Times New Roman"/>
          <w:b w:val="false"/>
          <w:i w:val="false"/>
          <w:color w:val="000000"/>
          <w:sz w:val="28"/>
        </w:rPr>
        <w:t>
      ж) обязательство - вступление в договорные отношения или другие влекущие за собой финансовую ответственность ЕАГ виды сделок, на которое было получено соответствующее разрешение;</w:t>
      </w:r>
      <w:r>
        <w:br/>
      </w:r>
      <w:r>
        <w:rPr>
          <w:rFonts w:ascii="Times New Roman"/>
          <w:b w:val="false"/>
          <w:i w:val="false"/>
          <w:color w:val="000000"/>
          <w:sz w:val="28"/>
        </w:rPr>
        <w:t>
      з) поступления - средства, поступившие в бюджет ЕАГ в виде установленных (начисленных) долевых взносов и прочих поступлений, то есть целевых добровольных взносов и даров в денежной форме (в том числе грантов);</w:t>
      </w:r>
      <w:r>
        <w:br/>
      </w:r>
      <w:r>
        <w:rPr>
          <w:rFonts w:ascii="Times New Roman"/>
          <w:b w:val="false"/>
          <w:i w:val="false"/>
          <w:color w:val="000000"/>
          <w:sz w:val="28"/>
        </w:rPr>
        <w:t>
      и) финансовый контроль - проверка и контроль, как внутренний, так и внешний, за порядком составления, рассмотрения и исполнения бюджета, а также за выполнением, распределением и использованием бюджетных средств;</w:t>
      </w:r>
      <w:r>
        <w:br/>
      </w:r>
      <w:r>
        <w:rPr>
          <w:rFonts w:ascii="Times New Roman"/>
          <w:b w:val="false"/>
          <w:i w:val="false"/>
          <w:color w:val="000000"/>
          <w:sz w:val="28"/>
        </w:rPr>
        <w:t>
      к) общий фонд - счет, открытый для учета поступлений и расходов по регулярному бюджету ЕАГ;</w:t>
      </w:r>
      <w:r>
        <w:br/>
      </w:r>
      <w:r>
        <w:rPr>
          <w:rFonts w:ascii="Times New Roman"/>
          <w:b w:val="false"/>
          <w:i w:val="false"/>
          <w:color w:val="000000"/>
          <w:sz w:val="28"/>
        </w:rPr>
        <w:t>
      л) резервный фонд - счет, открытый для учета движения денежных средств, с целью финансирования непредвиденных и чрезвычайных расходов, связанных с деятельностью ЕАГ.</w:t>
      </w:r>
    </w:p>
    <w:p>
      <w:pPr>
        <w:spacing w:after="0"/>
        <w:ind w:left="0"/>
        <w:jc w:val="left"/>
      </w:pPr>
      <w:r>
        <w:rPr>
          <w:rFonts w:ascii="Times New Roman"/>
          <w:b/>
          <w:i w:val="false"/>
          <w:color w:val="000000"/>
        </w:rPr>
        <w:t xml:space="preserve"> 2. Бюджет ЕАГ</w:t>
      </w:r>
    </w:p>
    <w:p>
      <w:pPr>
        <w:spacing w:after="0"/>
        <w:ind w:left="0"/>
        <w:jc w:val="both"/>
      </w:pPr>
      <w:r>
        <w:rPr>
          <w:rFonts w:ascii="Times New Roman"/>
          <w:b w:val="false"/>
          <w:i w:val="false"/>
          <w:color w:val="000000"/>
          <w:sz w:val="28"/>
        </w:rPr>
        <w:t>      2. Бюджет ЕАГ формируется из долевых взносов государств-членов, а также прочих поступлений, то есть целевых добровольных взносов и даров в денежной форме (грантов).</w:t>
      </w:r>
      <w:r>
        <w:br/>
      </w:r>
      <w:r>
        <w:rPr>
          <w:rFonts w:ascii="Times New Roman"/>
          <w:b w:val="false"/>
          <w:i w:val="false"/>
          <w:color w:val="000000"/>
          <w:sz w:val="28"/>
        </w:rPr>
        <w:t>
      3. Бюджет ЕАГ составляется сроком на один календарный год, который также является финансовым годом и утверждается Пленарным заседанием.</w:t>
      </w:r>
      <w:r>
        <w:br/>
      </w:r>
      <w:r>
        <w:rPr>
          <w:rFonts w:ascii="Times New Roman"/>
          <w:b w:val="false"/>
          <w:i w:val="false"/>
          <w:color w:val="000000"/>
          <w:sz w:val="28"/>
        </w:rPr>
        <w:t>
      4. Бюджет ЕАГ охватывает все предполагаемые поступления и планируемые расходы на финансовый год, к которому они относятся, и формируется в российских рублях. Ежегодные взносы рассчитываются и уплачиваются в российских рублях. Ежегодные взносы государств-членов ЕАГ могут уплачиваться в долларах США по курсу ММВБ, или ______ на день оплаты.</w:t>
      </w:r>
    </w:p>
    <w:p>
      <w:pPr>
        <w:spacing w:after="0"/>
        <w:ind w:left="0"/>
        <w:jc w:val="left"/>
      </w:pPr>
      <w:r>
        <w:rPr>
          <w:rFonts w:ascii="Times New Roman"/>
          <w:b/>
          <w:i w:val="false"/>
          <w:color w:val="000000"/>
        </w:rPr>
        <w:t xml:space="preserve"> 3. Взносы</w:t>
      </w:r>
    </w:p>
    <w:p>
      <w:pPr>
        <w:spacing w:after="0"/>
        <w:ind w:left="0"/>
        <w:jc w:val="both"/>
      </w:pPr>
      <w:r>
        <w:rPr>
          <w:rFonts w:ascii="Times New Roman"/>
          <w:b w:val="false"/>
          <w:i w:val="false"/>
          <w:color w:val="000000"/>
          <w:sz w:val="28"/>
        </w:rPr>
        <w:t>      5. Государства-члены вносят долевые взносы в бюджет ЕАГ в соответствии с приложением, являющимся неотъемлемой частью настоящего Положения.</w:t>
      </w:r>
      <w:r>
        <w:br/>
      </w:r>
      <w:r>
        <w:rPr>
          <w:rFonts w:ascii="Times New Roman"/>
          <w:b w:val="false"/>
          <w:i w:val="false"/>
          <w:color w:val="000000"/>
          <w:sz w:val="28"/>
        </w:rPr>
        <w:t>
      6. Размеры долевых взносов могут быть изменены решением Пленарного заседания по предложению одного или нескольких государств-членов и с согласия других государств-членов.</w:t>
      </w:r>
      <w:r>
        <w:br/>
      </w:r>
      <w:r>
        <w:rPr>
          <w:rFonts w:ascii="Times New Roman"/>
          <w:b w:val="false"/>
          <w:i w:val="false"/>
          <w:color w:val="000000"/>
          <w:sz w:val="28"/>
        </w:rPr>
        <w:t>
      7. В случае выхода государства-члена из ЕАГ или вступления нового государства в ЕАГ в качестве члена, Пленарное заседание утверждает измененные размеры долевых взносов.</w:t>
      </w:r>
      <w:r>
        <w:br/>
      </w:r>
      <w:r>
        <w:rPr>
          <w:rFonts w:ascii="Times New Roman"/>
          <w:b w:val="false"/>
          <w:i w:val="false"/>
          <w:color w:val="000000"/>
          <w:sz w:val="28"/>
        </w:rPr>
        <w:t>
      8. Суммы, подлежащие уплате в счет долевых (начисленных) взносов, перечисляются в банк, определенный Исполнительным секретарем по согласованию с Пленарным заседанием.</w:t>
      </w:r>
      <w:r>
        <w:br/>
      </w:r>
      <w:r>
        <w:rPr>
          <w:rFonts w:ascii="Times New Roman"/>
          <w:b w:val="false"/>
          <w:i w:val="false"/>
          <w:color w:val="000000"/>
          <w:sz w:val="28"/>
        </w:rPr>
        <w:t>
      9. Начисленные взносы подлежат уплате в полном объеме в течение тридцати дней с момента получения от Исполнительного секретаря уведомления, о причитающихся взносах или в течение первого месяца календарного года.</w:t>
      </w:r>
      <w:r>
        <w:br/>
      </w:r>
      <w:r>
        <w:rPr>
          <w:rFonts w:ascii="Times New Roman"/>
          <w:b w:val="false"/>
          <w:i w:val="false"/>
          <w:color w:val="000000"/>
          <w:sz w:val="28"/>
        </w:rPr>
        <w:t>
      10. В случае если государство-член не в состоянии внести причитающиеся долевые взносы в полном объеме в эти сроки, оно может перечислять их поэтапно, о чем заранее уведомляет Исполнительного секретаря.</w:t>
      </w:r>
      <w:r>
        <w:br/>
      </w:r>
      <w:r>
        <w:rPr>
          <w:rFonts w:ascii="Times New Roman"/>
          <w:b w:val="false"/>
          <w:i w:val="false"/>
          <w:color w:val="000000"/>
          <w:sz w:val="28"/>
        </w:rPr>
        <w:t>
      11. В случае неутверждения бюджета ЕАГ до начала финансового года государства-члены ежемесячно до утверждения бюджета ЕАГ перечисляют взносы в размере 1/12 исполнения регулярного бюджета предыдущего бюджетного года.</w:t>
      </w:r>
    </w:p>
    <w:p>
      <w:pPr>
        <w:spacing w:after="0"/>
        <w:ind w:left="0"/>
        <w:jc w:val="left"/>
      </w:pPr>
      <w:r>
        <w:rPr>
          <w:rFonts w:ascii="Times New Roman"/>
          <w:b/>
          <w:i w:val="false"/>
          <w:color w:val="000000"/>
        </w:rPr>
        <w:t xml:space="preserve"> 4. Формирование и исполнение бюджета</w:t>
      </w:r>
    </w:p>
    <w:p>
      <w:pPr>
        <w:spacing w:after="0"/>
        <w:ind w:left="0"/>
        <w:jc w:val="both"/>
      </w:pPr>
      <w:r>
        <w:rPr>
          <w:rFonts w:ascii="Times New Roman"/>
          <w:b w:val="false"/>
          <w:i w:val="false"/>
          <w:color w:val="000000"/>
          <w:sz w:val="28"/>
        </w:rPr>
        <w:t>      12. Исполнительный секретарь формирует проект бюджета на следующий финансовый год на основе предложений государств-членов ЕАГ, передает проект бюджета всем государствам-членам не позднее, чем за восемь месяцев до начала очередного финансового года, представляет его на утверждение Пленарного заседания.</w:t>
      </w:r>
      <w:r>
        <w:br/>
      </w:r>
      <w:r>
        <w:rPr>
          <w:rFonts w:ascii="Times New Roman"/>
          <w:b w:val="false"/>
          <w:i w:val="false"/>
          <w:color w:val="000000"/>
          <w:sz w:val="28"/>
        </w:rPr>
        <w:t>
      13. После утверждения или пересмотра бюджета ЕАГ Пленарным заседанием, Исполнительный секретарь информирует государства-члены о причитающихся к уплате долевых взносах.</w:t>
      </w:r>
      <w:r>
        <w:br/>
      </w:r>
      <w:r>
        <w:rPr>
          <w:rFonts w:ascii="Times New Roman"/>
          <w:b w:val="false"/>
          <w:i w:val="false"/>
          <w:color w:val="000000"/>
          <w:sz w:val="28"/>
        </w:rPr>
        <w:t>
      14. Исполнительный секретарь периодически представляет государствам-членам сведения о поступлении долевых взносов.</w:t>
      </w:r>
      <w:r>
        <w:br/>
      </w:r>
      <w:r>
        <w:rPr>
          <w:rFonts w:ascii="Times New Roman"/>
          <w:b w:val="false"/>
          <w:i w:val="false"/>
          <w:color w:val="000000"/>
          <w:sz w:val="28"/>
        </w:rPr>
        <w:t>
      15. Исполнительный секретарь на основе настоящего Положения разрабатывает проекты положений и правил, регулирующих отдельные вопросы финансирования деятельности ЕАГ, а в случае необходимости - проекты поправок к ним. Проекты финансовых положений и правил, а также проекты поправок к действующим финансовым положениям и правилам вносятся Исполнительным секретарем на  утверждение Пленарным заседанием.</w:t>
      </w:r>
      <w:r>
        <w:br/>
      </w:r>
      <w:r>
        <w:rPr>
          <w:rFonts w:ascii="Times New Roman"/>
          <w:b w:val="false"/>
          <w:i w:val="false"/>
          <w:color w:val="000000"/>
          <w:sz w:val="28"/>
        </w:rPr>
        <w:t>
      16. Годовой отчет об исполнении бюджета ЕАГ составляется Исполнительным секретарем и с одобрения государств-членов направляется на утверждение Пленарным заседанием.</w:t>
      </w:r>
      <w:r>
        <w:br/>
      </w:r>
      <w:r>
        <w:rPr>
          <w:rFonts w:ascii="Times New Roman"/>
          <w:b w:val="false"/>
          <w:i w:val="false"/>
          <w:color w:val="000000"/>
          <w:sz w:val="28"/>
        </w:rPr>
        <w:t>
      17. Исполнительный секретарь в течение 12 месяцев после окончания финансового года полностью покрывает обязательства по поставленным в течение того же финансового года товарам и услугам, а также другие остающиеся финансовые обязательства.</w:t>
      </w:r>
      <w:r>
        <w:br/>
      </w:r>
      <w:r>
        <w:rPr>
          <w:rFonts w:ascii="Times New Roman"/>
          <w:b w:val="false"/>
          <w:i w:val="false"/>
          <w:color w:val="000000"/>
          <w:sz w:val="28"/>
        </w:rPr>
        <w:t>
      18. В случае неутверждения бюджета Пленарным заседанием до начала финансового года Исполнительный секретарь уполномочен принимать обязательства и производить платежи на ежемесячной основе в пределах 1/12 суммы исполнения предыдущего регулярного бюджета до утверждения бюджета на текущий финансовый год.</w:t>
      </w:r>
    </w:p>
    <w:p>
      <w:pPr>
        <w:spacing w:after="0"/>
        <w:ind w:left="0"/>
        <w:jc w:val="left"/>
      </w:pPr>
      <w:r>
        <w:rPr>
          <w:rFonts w:ascii="Times New Roman"/>
          <w:b/>
          <w:i w:val="false"/>
          <w:color w:val="000000"/>
        </w:rPr>
        <w:t xml:space="preserve"> 5. Учреждение фондов</w:t>
      </w:r>
    </w:p>
    <w:p>
      <w:pPr>
        <w:spacing w:after="0"/>
        <w:ind w:left="0"/>
        <w:jc w:val="both"/>
      </w:pPr>
      <w:r>
        <w:rPr>
          <w:rFonts w:ascii="Times New Roman"/>
          <w:b w:val="false"/>
          <w:i w:val="false"/>
          <w:color w:val="000000"/>
          <w:sz w:val="28"/>
        </w:rPr>
        <w:t>      19. Для учета поступлений и расходов по бюджету учреждается Общий фонд. Источником его денежных средств являются долевые взносы, выплачиваемые государствами-членами в счет текущего финансового года, прочие поступления.</w:t>
      </w:r>
      <w:r>
        <w:br/>
      </w:r>
      <w:r>
        <w:rPr>
          <w:rFonts w:ascii="Times New Roman"/>
          <w:b w:val="false"/>
          <w:i w:val="false"/>
          <w:color w:val="000000"/>
          <w:sz w:val="28"/>
        </w:rPr>
        <w:t>
      20. Для покрытия непредвиденных и чрезвычайных расходов, связанных с деятельностью ЕАГ, может учреждаться Резервный фонд. Решение относительно учреждения Резервного фонда, а также объема средств в нем и порядок его использования принимаются Пленарным заседанием по представлению Исполнительного секретаря.</w:t>
      </w:r>
      <w:r>
        <w:br/>
      </w:r>
      <w:r>
        <w:rPr>
          <w:rFonts w:ascii="Times New Roman"/>
          <w:b w:val="false"/>
          <w:i w:val="false"/>
          <w:color w:val="000000"/>
          <w:sz w:val="28"/>
        </w:rPr>
        <w:t>
      21. Добровольные взносы в бюджет ЕАГ, дары в денежной форме бюджету ЕАГ могут приниматься Исполнительным секретарем с одобрения Пленарного заседания при условии, что предназначение этих средств не противоречит целям и задачам ЕАГ.</w:t>
      </w:r>
      <w:r>
        <w:br/>
      </w:r>
      <w:r>
        <w:rPr>
          <w:rFonts w:ascii="Times New Roman"/>
          <w:b w:val="false"/>
          <w:i w:val="false"/>
          <w:color w:val="000000"/>
          <w:sz w:val="28"/>
        </w:rPr>
        <w:t>
      22. Исполнительный секретарь может учреждать в рамках Резервного фонда целевые фонды и специальные счета с согласия Пленарного заседания.</w:t>
      </w:r>
      <w:r>
        <w:br/>
      </w:r>
      <w:r>
        <w:rPr>
          <w:rFonts w:ascii="Times New Roman"/>
          <w:b w:val="false"/>
          <w:i w:val="false"/>
          <w:color w:val="000000"/>
          <w:sz w:val="28"/>
        </w:rPr>
        <w:t>
      23. Управление вышеперечисленными фондами и счетами осуществляется в соответствии с финансовыми положениями и правилами, упомянутыми в пункте 15 настоящего Положения.</w:t>
      </w:r>
    </w:p>
    <w:p>
      <w:pPr>
        <w:spacing w:after="0"/>
        <w:ind w:left="0"/>
        <w:jc w:val="left"/>
      </w:pPr>
      <w:r>
        <w:rPr>
          <w:rFonts w:ascii="Times New Roman"/>
          <w:b/>
          <w:i w:val="false"/>
          <w:color w:val="000000"/>
        </w:rPr>
        <w:t xml:space="preserve"> 6. Контроль и аудит</w:t>
      </w:r>
    </w:p>
    <w:p>
      <w:pPr>
        <w:spacing w:after="0"/>
        <w:ind w:left="0"/>
        <w:jc w:val="both"/>
      </w:pPr>
      <w:r>
        <w:rPr>
          <w:rFonts w:ascii="Times New Roman"/>
          <w:b w:val="false"/>
          <w:i w:val="false"/>
          <w:color w:val="000000"/>
          <w:sz w:val="28"/>
        </w:rPr>
        <w:t>      24. Исполнительный секретарь, являющийся главным административным лицом ЕАГ, несет ответственность за все финансовые аспекты деятельности ЕАГ и отчитывается перед Пленарным заседанием за должное и эффективное управление финансовыми ресурсами ЕАГ в соответствии с настоящим Положением.</w:t>
      </w:r>
      <w:r>
        <w:br/>
      </w:r>
      <w:r>
        <w:rPr>
          <w:rFonts w:ascii="Times New Roman"/>
          <w:b w:val="false"/>
          <w:i w:val="false"/>
          <w:color w:val="000000"/>
          <w:sz w:val="28"/>
        </w:rPr>
        <w:t>
      25. В ЕАГ обеспечивается необходимый механизм финансового контроля - внутренний и внешний аудит. Внешний аудит осуществляется представителями государств-членов ЕАГ.</w:t>
      </w:r>
    </w:p>
    <w:p>
      <w:pPr>
        <w:spacing w:after="0"/>
        <w:ind w:left="0"/>
        <w:jc w:val="left"/>
      </w:pPr>
      <w:r>
        <w:rPr>
          <w:rFonts w:ascii="Times New Roman"/>
          <w:b/>
          <w:i w:val="false"/>
          <w:color w:val="000000"/>
        </w:rPr>
        <w:t xml:space="preserve"> 7. Иные положения</w:t>
      </w:r>
    </w:p>
    <w:p>
      <w:pPr>
        <w:spacing w:after="0"/>
        <w:ind w:left="0"/>
        <w:jc w:val="both"/>
      </w:pPr>
      <w:r>
        <w:rPr>
          <w:rFonts w:ascii="Times New Roman"/>
          <w:b w:val="false"/>
          <w:i w:val="false"/>
          <w:color w:val="000000"/>
          <w:sz w:val="28"/>
        </w:rPr>
        <w:t>      26. Неуплаченные государством-членом суммы начисленных ежегодных долевых взносов являются задолженностью данного государства перед ЕАГ, подлежащей обязательному погашению.</w:t>
      </w:r>
      <w:r>
        <w:br/>
      </w:r>
      <w:r>
        <w:rPr>
          <w:rFonts w:ascii="Times New Roman"/>
          <w:b w:val="false"/>
          <w:i w:val="false"/>
          <w:color w:val="000000"/>
          <w:sz w:val="28"/>
        </w:rPr>
        <w:t>
      27. С 1 октября текущего финансового года государства-члены, не выплатившие в полном объеме долевые взносы, относящиеся к текущему финансовому году, должны будут уплачивать проценты в размере 0,1 % в месяц на сумму задолженности, до даты полного ее погашения, если иное не решит Пленарное заседание.</w:t>
      </w:r>
      <w:r>
        <w:br/>
      </w:r>
      <w:r>
        <w:rPr>
          <w:rFonts w:ascii="Times New Roman"/>
          <w:b w:val="false"/>
          <w:i w:val="false"/>
          <w:color w:val="000000"/>
          <w:sz w:val="28"/>
        </w:rPr>
        <w:t>
      28. В отношении государства-члена, сумма задолженности которого превышает сумму взносов, причитающихся с него за предыдущий бюджетный год, может быть принято решение о приостановлении его членства в ЕАГ в порядке, предусмотренном статьей 7 Соглашения о Евразийской группе по противодействию легализации преступных доходов и финансированию терроризма.</w:t>
      </w:r>
      <w:r>
        <w:br/>
      </w:r>
      <w:r>
        <w:rPr>
          <w:rFonts w:ascii="Times New Roman"/>
          <w:b w:val="false"/>
          <w:i w:val="false"/>
          <w:color w:val="000000"/>
          <w:sz w:val="28"/>
        </w:rPr>
        <w:t>
      29. Финансовые обязательства государства-члена перед ЕАГ подлежат полному выполнению независимо от прекращения либо приостановления членства этого государства в ЕАГ.</w:t>
      </w:r>
      <w:r>
        <w:br/>
      </w:r>
      <w:r>
        <w:rPr>
          <w:rFonts w:ascii="Times New Roman"/>
          <w:b w:val="false"/>
          <w:i w:val="false"/>
          <w:color w:val="000000"/>
          <w:sz w:val="28"/>
        </w:rPr>
        <w:t>
      30. Порядок урегулирования конкретных вопросов, связанных с выполнением настоящего раздела, определяется финансовыми положениями и правилами, упомянутыми в пункте 15 настоящего Положения.</w:t>
      </w:r>
      <w:r>
        <w:br/>
      </w:r>
      <w:r>
        <w:rPr>
          <w:rFonts w:ascii="Times New Roman"/>
          <w:b w:val="false"/>
          <w:i w:val="false"/>
          <w:color w:val="000000"/>
          <w:sz w:val="28"/>
        </w:rPr>
        <w:t>
      31. В случае прекращения деятельности ЕАГ порядок урегулирования связанных с этим финансовых и имущественных вопросов, включая вопросы продажи имущества ЕАГ, определяется Пленарным заседанием, с учетом требований настоящего Положения.</w:t>
      </w:r>
      <w:r>
        <w:br/>
      </w:r>
      <w:r>
        <w:rPr>
          <w:rFonts w:ascii="Times New Roman"/>
          <w:b w:val="false"/>
          <w:i w:val="false"/>
          <w:color w:val="000000"/>
          <w:sz w:val="28"/>
        </w:rPr>
        <w:t>
      32. Денежные средства, полученные от продажи движимого и недвижимого имущества, после выполнения имеющихся обязательств распределяются между государствами-членами пропорционально размерам взносов, определенных на текущий бюджетный год.</w:t>
      </w:r>
      <w:r>
        <w:br/>
      </w:r>
      <w:r>
        <w:rPr>
          <w:rFonts w:ascii="Times New Roman"/>
          <w:b w:val="false"/>
          <w:i w:val="false"/>
          <w:color w:val="000000"/>
          <w:sz w:val="28"/>
        </w:rPr>
        <w:t>
      33. В случае недостатка суммы денежных средств для выполнения обязательств в связи с прекращением деятельности ЕАГ он покрывается денежными средствами, перечисляемыми государствами-членами в долях, пропорционально размерам долевых взносов, определенных на текущий бюджетный год.</w:t>
      </w:r>
      <w:r>
        <w:br/>
      </w:r>
      <w:r>
        <w:rPr>
          <w:rFonts w:ascii="Times New Roman"/>
          <w:b w:val="false"/>
          <w:i w:val="false"/>
          <w:color w:val="000000"/>
          <w:sz w:val="28"/>
        </w:rPr>
        <w:t>
      34. В случае выхода или исключения государства-члена из ЕАГ, если за этим государством числится задолженность по уплате обязательных взносов, сумма возвращаемых средств уменьшается на сумму этой задолженности. Задолженность погашается за счет средств данного государства.</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Положению о порядке        </w:t>
      </w:r>
      <w:r>
        <w:br/>
      </w:r>
      <w:r>
        <w:rPr>
          <w:rFonts w:ascii="Times New Roman"/>
          <w:b w:val="false"/>
          <w:i w:val="false"/>
          <w:color w:val="000000"/>
          <w:sz w:val="28"/>
        </w:rPr>
        <w:t>
формирования и исполнения бюджета ЕАГ</w:t>
      </w:r>
    </w:p>
    <w:p>
      <w:pPr>
        <w:spacing w:after="0"/>
        <w:ind w:left="0"/>
        <w:jc w:val="left"/>
      </w:pPr>
      <w:r>
        <w:rPr>
          <w:rFonts w:ascii="Times New Roman"/>
          <w:b/>
          <w:i w:val="false"/>
          <w:color w:val="000000"/>
        </w:rPr>
        <w:t xml:space="preserve"> Формула расчета</w:t>
      </w:r>
      <w:r>
        <w:br/>
      </w:r>
      <w:r>
        <w:rPr>
          <w:rFonts w:ascii="Times New Roman"/>
          <w:b/>
          <w:i w:val="false"/>
          <w:color w:val="000000"/>
        </w:rPr>
        <w:t>
ежегодных взносов государств-членов Евразийской группы по</w:t>
      </w:r>
      <w:r>
        <w:br/>
      </w:r>
      <w:r>
        <w:rPr>
          <w:rFonts w:ascii="Times New Roman"/>
          <w:b/>
          <w:i w:val="false"/>
          <w:color w:val="000000"/>
        </w:rPr>
        <w:t>
противодействию легализации преступных доходов и финансированию</w:t>
      </w:r>
      <w:r>
        <w:br/>
      </w:r>
      <w:r>
        <w:rPr>
          <w:rFonts w:ascii="Times New Roman"/>
          <w:b/>
          <w:i w:val="false"/>
          <w:color w:val="000000"/>
        </w:rPr>
        <w:t>
терроризма в бюджет ЕАГ Формула:</w:t>
      </w:r>
    </w:p>
    <w:p>
      <w:pPr>
        <w:spacing w:after="0"/>
        <w:ind w:left="0"/>
        <w:jc w:val="both"/>
      </w:pPr>
      <w:r>
        <w:drawing>
          <wp:inline distT="0" distB="0" distL="0" distR="0">
            <wp:extent cx="8153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53400" cy="1295400"/>
                    </a:xfrm>
                    <a:prstGeom prst="rect">
                      <a:avLst/>
                    </a:prstGeom>
                  </pic:spPr>
                </pic:pic>
              </a:graphicData>
            </a:graphic>
          </wp:inline>
        </w:drawing>
      </w:r>
    </w:p>
    <w:p>
      <w:pPr>
        <w:spacing w:after="0"/>
        <w:ind w:left="0"/>
        <w:jc w:val="left"/>
      </w:pPr>
      <w:r>
        <w:rPr>
          <w:rFonts w:ascii="Times New Roman"/>
          <w:b/>
          <w:i w:val="false"/>
          <w:color w:val="000000"/>
        </w:rPr>
        <w:t xml:space="preserve"> Используемые понятия:</w:t>
      </w:r>
    </w:p>
    <w:p>
      <w:pPr>
        <w:spacing w:after="0"/>
        <w:ind w:left="0"/>
        <w:jc w:val="both"/>
      </w:pPr>
      <w:r>
        <w:rPr>
          <w:rFonts w:ascii="Times New Roman"/>
          <w:b/>
          <w:i w:val="false"/>
          <w:color w:val="000000"/>
          <w:sz w:val="28"/>
        </w:rPr>
        <w:t>сумма взноса государства</w:t>
      </w:r>
      <w:r>
        <w:rPr>
          <w:rFonts w:ascii="Times New Roman"/>
          <w:b w:val="false"/>
          <w:i w:val="false"/>
          <w:color w:val="000000"/>
          <w:sz w:val="28"/>
        </w:rPr>
        <w:t xml:space="preserve"> - сумма взноса, перечисляемого государствами-членами в бюджет ЕАГ;</w:t>
      </w:r>
      <w:r>
        <w:br/>
      </w:r>
      <w:r>
        <w:rPr>
          <w:rFonts w:ascii="Times New Roman"/>
          <w:b w:val="false"/>
          <w:i w:val="false"/>
          <w:color w:val="000000"/>
          <w:sz w:val="28"/>
        </w:rPr>
        <w:t>
</w:t>
      </w:r>
      <w:r>
        <w:rPr>
          <w:rFonts w:ascii="Times New Roman"/>
          <w:b/>
          <w:i w:val="false"/>
          <w:color w:val="000000"/>
          <w:sz w:val="28"/>
        </w:rPr>
        <w:t>ВВП государства-члена</w:t>
      </w:r>
      <w:r>
        <w:rPr>
          <w:rFonts w:ascii="Times New Roman"/>
          <w:b w:val="false"/>
          <w:i w:val="false"/>
          <w:color w:val="000000"/>
          <w:sz w:val="28"/>
        </w:rPr>
        <w:t xml:space="preserve"> - средний показатель внутреннего валового продукта государства-члена за последние 5 лет, рассчитывается в соответствии со статистическими данными ООН;</w:t>
      </w:r>
      <w:r>
        <w:br/>
      </w:r>
      <w:r>
        <w:rPr>
          <w:rFonts w:ascii="Times New Roman"/>
          <w:b w:val="false"/>
          <w:i w:val="false"/>
          <w:color w:val="000000"/>
          <w:sz w:val="28"/>
        </w:rPr>
        <w:t>
</w:t>
      </w:r>
      <w:r>
        <w:rPr>
          <w:rFonts w:ascii="Times New Roman"/>
          <w:b/>
          <w:i w:val="false"/>
          <w:color w:val="000000"/>
          <w:sz w:val="28"/>
        </w:rPr>
        <w:t>сумма ВВП государств-членов</w:t>
      </w:r>
      <w:r>
        <w:rPr>
          <w:rFonts w:ascii="Times New Roman"/>
          <w:b w:val="false"/>
          <w:i w:val="false"/>
          <w:color w:val="000000"/>
          <w:sz w:val="28"/>
        </w:rPr>
        <w:t xml:space="preserve"> - общая сумма показателя внутреннего валового продукта всех государств-членов ЕАГ;</w:t>
      </w:r>
      <w:r>
        <w:br/>
      </w:r>
      <w:r>
        <w:rPr>
          <w:rFonts w:ascii="Times New Roman"/>
          <w:b w:val="false"/>
          <w:i w:val="false"/>
          <w:color w:val="000000"/>
          <w:sz w:val="28"/>
        </w:rPr>
        <w:t>
</w:t>
      </w:r>
      <w:r>
        <w:rPr>
          <w:rFonts w:ascii="Times New Roman"/>
          <w:b/>
          <w:i w:val="false"/>
          <w:color w:val="000000"/>
          <w:sz w:val="28"/>
        </w:rPr>
        <w:t>общий бюджет</w:t>
      </w:r>
      <w:r>
        <w:rPr>
          <w:rFonts w:ascii="Times New Roman"/>
          <w:b w:val="false"/>
          <w:i w:val="false"/>
          <w:color w:val="000000"/>
          <w:sz w:val="28"/>
        </w:rPr>
        <w:t xml:space="preserve"> - денежные средства, предназначенные для финансового обеспечения задач и функций ЕАГ;</w:t>
      </w:r>
      <w:r>
        <w:br/>
      </w:r>
      <w:r>
        <w:rPr>
          <w:rFonts w:ascii="Times New Roman"/>
          <w:b w:val="false"/>
          <w:i w:val="false"/>
          <w:color w:val="000000"/>
          <w:sz w:val="28"/>
        </w:rPr>
        <w:t>
</w:t>
      </w:r>
      <w:r>
        <w:rPr>
          <w:rFonts w:ascii="Times New Roman"/>
          <w:b/>
          <w:i w:val="false"/>
          <w:color w:val="000000"/>
          <w:sz w:val="28"/>
        </w:rPr>
        <w:t>ВВП государства-члена на душу населения</w:t>
      </w:r>
      <w:r>
        <w:rPr>
          <w:rFonts w:ascii="Times New Roman"/>
          <w:b w:val="false"/>
          <w:i w:val="false"/>
          <w:color w:val="000000"/>
          <w:sz w:val="28"/>
        </w:rPr>
        <w:t xml:space="preserve"> - средний показатель внутреннего валового продукта на душу населения за последние 5 лет, рассчитывается в соответствии со статистическими данными ООН;</w:t>
      </w:r>
      <w:r>
        <w:br/>
      </w:r>
      <w:r>
        <w:rPr>
          <w:rFonts w:ascii="Times New Roman"/>
          <w:b w:val="false"/>
          <w:i w:val="false"/>
          <w:color w:val="000000"/>
          <w:sz w:val="28"/>
        </w:rPr>
        <w:t>
</w:t>
      </w:r>
      <w:r>
        <w:rPr>
          <w:rFonts w:ascii="Times New Roman"/>
          <w:b/>
          <w:i w:val="false"/>
          <w:color w:val="000000"/>
          <w:sz w:val="28"/>
        </w:rPr>
        <w:t>сумма ВВП на душу населения государств-членов</w:t>
      </w:r>
      <w:r>
        <w:rPr>
          <w:rFonts w:ascii="Times New Roman"/>
          <w:b w:val="false"/>
          <w:i w:val="false"/>
          <w:color w:val="000000"/>
          <w:sz w:val="28"/>
        </w:rPr>
        <w:t xml:space="preserve"> - общая сумма показателя внутреннего валового продукта на душу населения всех государств-членов ЕАГ.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