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8ab0" w14:textId="04f8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Соглашения о займе (Обычные операции) (Транспортный коридор ЦАРЭС 1 [Участок дороги в Жамбылской области] [Международный транзитный коридор Западная Европа - Западный Китай] Инвестиционная Программа - Проект 4) между Республикой Казахстан и Азиатским Банком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2011 года № 627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Соглашения о займе (Обычные операции) (Транспортный коридор ЦАРЭС 1 [Участок дороги в Жамбылской области] [Международный транзитный коридор Западная Европа - Западный Китай] Инвестиционная Программа - Проект 4) между Республикой Казахстан и Азиатским Банком Развития".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подписании Соглашения о займе (Обычные операции)</w:t>
      </w:r>
      <w:r>
        <w:br/>
      </w:r>
      <w:r>
        <w:rPr>
          <w:rFonts w:ascii="Times New Roman"/>
          <w:b/>
          <w:i w:val="false"/>
          <w:color w:val="000000"/>
        </w:rPr>
        <w:t>
(Транспортный коридор ЦАРЭС 1 [Участок дороги в Жамбылской</w:t>
      </w:r>
      <w:r>
        <w:br/>
      </w:r>
      <w:r>
        <w:rPr>
          <w:rFonts w:ascii="Times New Roman"/>
          <w:b/>
          <w:i w:val="false"/>
          <w:color w:val="000000"/>
        </w:rPr>
        <w:t>
области] [Международный транзитный коридор Западная Европа –</w:t>
      </w:r>
      <w:r>
        <w:br/>
      </w:r>
      <w:r>
        <w:rPr>
          <w:rFonts w:ascii="Times New Roman"/>
          <w:b/>
          <w:i w:val="false"/>
          <w:color w:val="000000"/>
        </w:rPr>
        <w:t>
Западный Китай] Инвестиционная Программа – Проект 4) между</w:t>
      </w:r>
      <w:r>
        <w:br/>
      </w:r>
      <w:r>
        <w:rPr>
          <w:rFonts w:ascii="Times New Roman"/>
          <w:b/>
          <w:i w:val="false"/>
          <w:color w:val="000000"/>
        </w:rPr>
        <w:t>
Республикой Казахстан и Азиатским Банком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займе (Обычные операции) (Транспортный коридор ЦАРЭС 1 [Участок дороги в Жамбылской области] [Международный транзитный коридор Западная Европа – Западный Китай] Инвестиционная Программа – Проект 4) между Республикой Казахстан и Азиатским Банком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финансов Республики Казахстан Жамишева Болата Бидахметовича подписать от имени Республики Казахстан Соглашение о займе (Обычные операции) (Транспортный коридор ЦАРЭС 1 [Участок дороги в Жамбылской области] [Международный транзитный коридор Западная Европа – Западный Китай] Инвестиционная Программа – Проект 4) между Республикой Казахстан и Азиатским Банком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 от "__" _______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займе (Обычные операции) (Транспортный коридор</w:t>
      </w:r>
      <w:r>
        <w:br/>
      </w:r>
      <w:r>
        <w:rPr>
          <w:rFonts w:ascii="Times New Roman"/>
          <w:b/>
          <w:i w:val="false"/>
          <w:color w:val="000000"/>
        </w:rPr>
        <w:t>
ЦАРЭС 1 [Участок дороги в Жамбылской области] [Международный</w:t>
      </w:r>
      <w:r>
        <w:br/>
      </w:r>
      <w:r>
        <w:rPr>
          <w:rFonts w:ascii="Times New Roman"/>
          <w:b/>
          <w:i w:val="false"/>
          <w:color w:val="000000"/>
        </w:rPr>
        <w:t>
транзитный коридор Западная Европа - Западный Китай]</w:t>
      </w:r>
      <w:r>
        <w:br/>
      </w:r>
      <w:r>
        <w:rPr>
          <w:rFonts w:ascii="Times New Roman"/>
          <w:b/>
          <w:i w:val="false"/>
          <w:color w:val="000000"/>
        </w:rPr>
        <w:t>
Инвестиционная Программа - Проект 4) между Республикой</w:t>
      </w:r>
      <w:r>
        <w:br/>
      </w:r>
      <w:r>
        <w:rPr>
          <w:rFonts w:ascii="Times New Roman"/>
          <w:b/>
          <w:i w:val="false"/>
          <w:color w:val="000000"/>
        </w:rPr>
        <w:t>
Казахстан и Азиатским Банком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СОГЛАШЕНИЕ О ЗАЙМЕ от ______________ между РЕСПУБЛИКОЙ КАЗАХСТАН (Заемщик) и АЗИАТСКИМ БАНКОМ РАЗВИТИЯ (АБР).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ПРИНИМАЯ ВО ВНИМАНИЕ НИЖЕСЛЕДУЮЩЕЕ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(A) согласно Рамочному соглашению о финансировании "Многотраншевый механизм финансирования КАЗ: Инвестиционная Программа Транспортный Коридор ЦАРЭС 1 (Участки в Жамбылской области) [Международный транзитный коридор Западная Европа - Западный Китай]" от 13 января 2009 года, заключенному между Республикой Казахстан и АБР (РСФ), в целях предоставления помощи Заемщику для финансирования проектов в рамках Инвестиционной Программы (Инвестиционная Программа) Транспортный Коридор ЦАРЭС 1 Участки в Жамбылской области) [Международный транзитный коридор Западная Европа - Западный Китай]" АБР предоставит многотраншевого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посредством предоставления Заемщиком периодического запроса о финансировании от 17 января 2011 года Заемщик обратился к АБР в соответствии с РСФ с просьбой о выделении займа для целей финансирования проекта, описанного в Приложении 1 настоящего Соглашения о Займе ("Проект");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АБР предоставит Заемщику займ из обычных капитальных ресурсов АБР на сроки и условиях, представленных в этом документе.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ВЫШЕИЗЛОЖЕННОГО, стороны настоящего соглашения договорились о 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</w:t>
      </w:r>
      <w:r>
        <w:br/>
      </w:r>
      <w:r>
        <w:rPr>
          <w:rFonts w:ascii="Times New Roman"/>
          <w:b/>
          <w:i w:val="false"/>
          <w:color w:val="000000"/>
        </w:rPr>
        <w:t>
Правила предоставления займа; 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1.01. Все положения предоставления займа для обычных операций, применимые к займам по Лондонской межбанковской ставке, выделяющимся из Обычных капитальных ресурсов АБР от 1 июля 2001 года (Правила предоставления займа), настоящим считаются применимыми к данному Соглашению о Займе с той же силой и действием, как если бы они были изложены в тексте настоящего Соглашения, однако с соблюдением нижеследующих изменений: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Раздел 3.03 удален и заменен нижеследующим: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за резервирование; Кредит.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(a) Заемщик обязуется выплачивать комиссию за резервирование по невостребованной сумме Займа по ставке и условиям, предусмотренным Соглашением о Займе.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АБР обязуется предоставить Заемщику кредит по ставке, предусмотренной в данном Соглашении о Займе, причем такой кредит останется фиксированным до конца срока Займа. АБР обязуется применить сумму кредита к процентам, подлежащим уплате Заемщиком.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(b) Раздел 3.06 удален и заменен нижеследующим: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(a) После каждого уведомления АБР о том, что фиксированный спред, применимый к новым займам будет снижен, АБР обязуется предоставить возмещение каждому Заемщику с невостребованным займом, к которому применим более высокий фиксированный спред. Сумма возмещения будет определена путем умножения (i) разницы между фиксированным спредом, применимым к невостребованному займу, и фиксированным спредом, применимым к новым займам (выраженной в виде годового процентного значения), на (ii) основную сумму невостребованного займа, по которому Заемщик обязуется выплачивать проценты в течение всех процентных периодов, начиная с и после даты вступления в силу сниженного фиксированного спреда, применимого к новым займам.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После каждого уведомления АБР о том, что его расчеты маржи стоимости финансирования в отношении любой валюты займа (или утвержденной валюты) в любом полугодии привели к экономии средств АБР, АБР обязуется предоставить возмещение Заемщику. Сумма возмещения будет определена путем умножения (i) маржи стоимости финансирования (выраженной в виде годового процентного значения) на (ii) основную сумму займа, по которой Заемщик обязуется выплачивать проценты в течение процентного периода, начинающегося непосредственно после полугодия, для которого была рассчитана маржа стоимости финансирования, АБР обязуется применить сумму возмещения к процентам, подлежащим оплате Заемщиком в течение процентного периода, начинающегося незамедлительно после полугодия, для которого была рассчитана маржа стоимости финансирования".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(c) Раздел 3.07 удален и заменен нижеследующим: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(a) После каждого уведомления АБР о том, что фиксированный спред, применимый к новым займам, будет увеличен, каждый Заемщик с невостребованным займом, к которому применим более низкий фиксированный спред, обязуется выплатить АБР дополнительную сумму. Размер данной дополнительной суммы будет определен путем умножения (i) разницы между фиксированным спредом, применимым к новым займам, и фиксированным спредом, применимым к невостребованному займу, (выраженной в виде годового процентного значения) на (ii) основную сумму невостребованного займа, по которой Заемщик обязуется выплачивать проценты в течение всех процентных периодов, начиная с и после момента даты вступления в силу повышенного фиксированного спреда, применимого к новым займам.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После каждого уведомления АБР о том, что его расчеты маржи стоимости финансирования в отношении любой валюты займа (или утвержденной валюты) в любом полугодии привели к дополнительным затратам, понесенным АБР, Заемщик обязуется выплатить АБР дополнительную сумму. Размер данной дополнительной суммы будет определен путем умножения (i) маржи стоимости финансирования (выраженной в виде годового процентного значения) на (ii) основную сумму займа, по которой Заемщик обязуется выплачивать проценты в течение процентного периода, начинающегося незамедлительно после полугодия, для которого была рассчитана маржа стоимости финансирования. АБР обязуется прибавить размер дополнительной оплаты к процентам, подлежащим оплате Заемщиком в течение процентного периода, начинающегося незамедлительно после полугодия, для которого была рассчитана маржа стоимости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1.02. При каждом случае употребления в настоящем Соглашении о Займе, если в этот документ не внесены изменения или иное не требуется по контексту, следующие термины, получившие определение в Правилах предоставления займа, имеют соответствующие значения, изложенные в них. Следующие термины имеют нижеследующие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ЦАРЭС означает Центрально-Азиатское Региональное Экономическое Сотрудничество;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"Транспортный коридор ЦАРЭС 1" означает Международной транзитный коридор "Западная Европа - Западная Китайская Народная Республика", проходящий от Хоргоса на границе с Китайской Народной Республикой через Алматы и Шымкент до западной границы с Российской Федерацией;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"Руководство по привлечению консультационных услуг" означает Руководство по использованию услуг консультантов Азиатским Банком Развития и его Заемщиками (от 2010 года, с периодическими поправками);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"Консультационные услуги" означают услуги, оказанные в рамках Проекта и финансируемые за счет дохода от Займа по Проекту 1 Инвестиционной Программы в соответствии с пунктом 2(b) Приложения 1 к настоящему Соглашению о займе, однако исключаются любые услуги, предоставляемые в части выполнения контрактных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(e) "РДЭОО" означает рамочный документ экологической оценки и обзора, согласованный между Заемщиком и АБР и включенный посредством ссылки в Приложение 5 к РСФ;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(f) "ПУОС" означает План управления окружающей средой, включенный в Оценку воздействия на окружающую среду (ПЭО);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(g) РСФ имеет значение, указанное в декларативной части (А) настоящего Соглашения о займе;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(h) "ПЭО" означает Предварительную экологическую оценку, подготовленную для Проекта Заемщиком и согласованную с АБР;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(i) "Инвестиционная Программа" имеет значение, данное в декларативной части (А) настоящего Соглашения о займе;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(j) "км" означает место с указанием данного знака и определенного количества километров на проектной дороге, и представлен ниже как "км" что означает километр;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(k) "РДВЗП" означает рамочный документ по выкупу земель и переселения, согласованныый между Заемщиком и АБР и включенный посредством ссылки в Приложении 5 РСФ;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(l) "ПВЗП" означает План выкупа земель и переселения для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(m) "Справочник по выплатам средств займа" означает Справочник АБР по выплатам средств займа (от 2007 года с периодическими поправками);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(n) "МТК" означает Министерство транспорта и коммуникаций Заемщика, и любой его правопреемник;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(o) "область" означает территориально-административную единицу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(p) "ПЗФ" означает периодический запрос на финансирование направленный или который будет направлен Заемщиком для получения каждого транша в рамках Инвестиционной Программы, по данному Соглашению о займе представлен периодический запрос на финансирование от 17 января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(q) "КУП-АБР" означает группу консультантов по управлению проектом, создаваемую в рамках Проекта 1 Инвестиционной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(r) "Руководство по закупкам" означает Руководство по закупкам АБР (от 2010 года, с периодическими поправками);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(s) "План закупок" означает план закупок для проекта от 9 февраля 2011 года, согласованный между Заемщиком и АБР, с периодическими обновлениями в соответствии с Руководством по закупкам, Руководством по привлечению консультационных услуг и прочими мероприятиями, согласованными с АБР;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(t) "Проект", имеет определение, данное в декларативной части (В) к настоящему Соглашению о займе;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(u) "Исполнительное Агентство по проекту" для целей и в рамках определения Правил предоставления займа, означает МТК и любого его правопреемника, ответственного за исполнение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(v) "Проектная дорога" означает участки дороги, указанные в подробностях в пункте 2(а) Приложения 1 к настоящему Соглашению о займе, которые будут построены, улучшены или восстановлены в соответствии с Проектом;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(w) "Работы" означают строительство или гражданско-строительные работы, финансируемые за счет средств займа, включая такие услуги как бурение или картографирование, и услуги, относящиеся к проекту, оказываемые как часть единого обязательства либо контракта на строительство "под ключ", за исключением консультационных услуг.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II</w:t>
      </w:r>
      <w:r>
        <w:br/>
      </w:r>
      <w:r>
        <w:rPr>
          <w:rFonts w:ascii="Times New Roman"/>
          <w:b/>
          <w:i w:val="false"/>
          <w:color w:val="000000"/>
        </w:rPr>
        <w:t>
Заем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2.01. (a) АБР соглашается предоставить заем Заемщику из обычных капитальных ресурсов АБР на сумму сто двенадцать миллиона долларов США ($112,000,000), причем данная сумма может быть периодически конвертирована в рамках Конвертации в соответствии с положениями Раздела 2.06 настоящего Соглашения о займе.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Заем предполагает период основного погашения 20 лет, и льготный период, определенный в пункте (c) данного Раздела.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Определение "льготный период", используемое в пункте (b) данного Раздела означает период, предшествующий первой Дате платежа в погашение основной суммы займа в соответствии с графиком погашения, изложенным в Приложении 2 настоящего Соглашения о займе.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2.02. Заемщик обязуется выплачивать АБР проценты на основную сумму займа, востребованного и невостребованного, периодически по ставке каждого процентного периода, равной сумме Лондонской межбанковской ставки и 0.60 % в год согласно Разделу 3.02 Правил предоставления займа, минус кредит 0.30 % в год согласно Разделу 3.03 Правил предоставления займа.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2.03. Заемщик обязуется выплачивать комиссию за резервирование в сумме 0.15 % ежегодно. Данная комиссия начисляется на полную сумму займа (минус суммы, снимаемые периодически), начиная с момента даты по истечении шестидесяти (60) дней после даты подписания данного Соглашения о займе.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2.04. Проценты и прочие выплаты по займу подлежат оплате один раз в полугодие 15 февраля и 15 августа каждого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2.05. Заемщик обязуется выплатить основную сумму займа, востребованную из Ссудного счета в соответствии с положениями Приложения 2 настоящего Соглашения о займе.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2.06. (a) Заемщик вправе в любое время запросить любую из нижеследующих конвертаций займа с целью обеспечения рационального регулирования долга: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(i) Изменение валюты займа полной или частичной суммы займа, выплаченной и невостребованной или невыплаченной, на утвержденную валюту;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(ii) Изменение базовой процентной ставки, применимой к полной или частичной основной сумме займа, востребованного и невостребованного, с плавающей процентной ставки на фиксированную и наоборот;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(iii) Установление лимитов на плавающую процентную ставку, применимую к полной или частичной основной сумме займа, востребованного или невостребованного, путем установления фиксированного максимума процентной ставки или минимума любой указанной плавающей процентной 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Любой запрос о конвертации, в соответствии с пунктом (a) данного Раздела, одобренный АБР, следует считать "Конвертацией" по определению Раздела 2.01(6) Правил предоставления займа, и вступающим в силу в соответствии с положениями Статьи V Правил предоставления займа и Руководства по Конвертации.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III</w:t>
      </w:r>
      <w:r>
        <w:br/>
      </w:r>
      <w:r>
        <w:rPr>
          <w:rFonts w:ascii="Times New Roman"/>
          <w:b/>
          <w:i w:val="false"/>
          <w:color w:val="000000"/>
        </w:rPr>
        <w:t>
Использование средств займа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3.01. Заемщик обязуется использовать средства займа на финансирование затрат по проекту в соответствии с положениями настоящего Соглашения о займе.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3.02. Все средства займа должны распределяться и изыматься в соответствии с положениями Приложения 3 настоящего Соглашения о займе, при этом допустимы периодические изменения в данном Приложении по согласию между Заемщиком и АБР.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3.03. Если АБР не указано иное, Заемщик проводит или организовывает проведение всех статей расходов в соответствии с применяемыми положениями Приложения 4 настоящего Соглашения о займе. АБР вправе отказать в финансировании контракта, по которому все такие статьи не были в значительной степени закуплены в рамках процедур, оговоренных Заемщиком и АБР, либо в случае, если сроки и условия контракта не удовлетворяют требованиям АБР.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3.04. Если АБР не согласен на иное, Заемщик обязуется обеспечить, чтобы все статьи расходов, финансируемые за счет средств займа, были использованы исключительно в целях исполнения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3.05. Дата закрытия для снятия средств со счета займа для целей, изложенных в Разделе 9.02 Правил предоставления займа, считается 31 декабря 2014 года, либо такая другая дата, которая может согласовываться между Заемщиком и АБР.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IV</w:t>
      </w:r>
      <w:r>
        <w:br/>
      </w:r>
      <w:r>
        <w:rPr>
          <w:rFonts w:ascii="Times New Roman"/>
          <w:b/>
          <w:i w:val="false"/>
          <w:color w:val="000000"/>
        </w:rPr>
        <w:t>
Особые условия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4.01. (a) Заемщик обязуется обеспечить исполнение Проекта с должной ответственностью и эффективностью и в соответствии с рациональными инженерными, финансовыми, экономическими и социальными требованиями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В процессе реализации Проекта и эксплуатации Проектных объектов Заемщик обязуется исполнять либо обеспечить исполнение всех обязательств, изложенных в Приложении 5 настоящего Соглашения о займе.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4.02. Заемщик обязуется незамедлительно, по мере необходимости, обеспечить, дополнительно к средствам займа, средства, объекты, услуги, земельные участки и прочие ресурсы, необходимые для исполнения Проекта и для эксплуатации и технического обслуживания Проектных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4.03. (a) В процессе реализации Проекта Заемщик обязуется обеспечить найм компетентных и квалифицированных консультантов и подрядчиков, приемлемых для АБР, в степени и на срок и на условиях, отвечающих требованиям Заемщика и АБР.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Заемщик обязуется обеспечить реализацию Проекта в соответствии с планами, стандартами проектирования, спецификациями, графиками работ и строительными методами, приемлемыми для АБР. Заемщик обязуется предоставить либо обеспечить предоставление АБР, незамедлительно после их подготовки, данных планов, стандартов проектирования, спецификаций и графиков работ, а также любых существенных изменений в указанные документы, сделанных впоследствии со степенью детальности, которую обоснованно потребует АБР.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4.04. Заемщик обязуется убедиться в том, что все действия его департаментов и организаций в отношении исполнения Проекта и эксплуатации Проектных объектов производятся и координируются в соответствии с рациональными административной политикой и процедурами.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4.05. (a) Заемщик обязуется (i) вести либо обеспечить ведение отдельной отчетности для Проекта; (ii) проводить ежегодный аудит данных счетов и соответствующих финансовых отчетов в соответствии с четким применением соответствующих стандартов аудита, независимыми аудиторами, чьи квалификация, опыт работы и сфера компетенции отвечают требованиям АБР; (iii) предоставить АБР, по мере получения, но ни в коей мере не позже чем по истечении шести (6) месяцев с момента окончания каждого соответствующего фискального года заверенные копии данных счетов и финансовых отчетов, прошедших аудит, и соответствующий отчет аудиторов (включая мнение аудиторов в отношении использования средств займа и соответствие финансовым условиям настоящего Соглашения о займе), на английском языке; а также (iv) предоставить АБР прочую информацию, имеющую отношение к данным счетам и финансовым отчетам и аудиту, по периодическому обоснованному требованию АБР.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Заемщик обязуется предоставить АБР право, по требованию АБР, обсуждать финансовые отчеты Заемщика для проекта и его финансовые дела, имеющие отношение к Проекту, с аудиторами, нанятыми Заемщиком в соответствии с вышеуказанным Разделом 4.05(a) и обязуется уполномочить и потребовать, чтобы любой из представителей аудиторов принял участие в данном обсуждении во время таких аудитов, по запросу АБР, при условии, что любое такое обсуждение будет проводиться только в присутствии уполномоченного представителя Заемщика, если Заемщик не согласился на иное.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4.06. Заемщик обязуется предоставить возможность представителям АБР инспектировать Проект и Проектные объекты, а также любые соответствующие записи и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4.07. Заемщик обязуется обеспечить, чтобы все Проектные объекты эксплуатировались, обслуживались и ремонтировались в соответствии с рациональными инженерными, финансовыми, экономическими и социальными мерами безопасности, а также в соответствии с процедурами эксплуатации и технического обслуживания дорог.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</w:t>
      </w:r>
      <w:r>
        <w:br/>
      </w:r>
      <w:r>
        <w:rPr>
          <w:rFonts w:ascii="Times New Roman"/>
          <w:b/>
          <w:i w:val="false"/>
          <w:color w:val="000000"/>
        </w:rPr>
        <w:t>
Вступление в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5.01. Дата по истечении 60 дней после даты подписания настоящего Соглашения о займе считается датой вступления в силу Соглашения о займе для целей, изложенных в Разделе 10.04 Правил предоставления займа.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VI</w:t>
      </w:r>
      <w:r>
        <w:br/>
      </w:r>
      <w:r>
        <w:rPr>
          <w:rFonts w:ascii="Times New Roman"/>
          <w:b/>
          <w:i w:val="false"/>
          <w:color w:val="000000"/>
        </w:rPr>
        <w:t>
Прочие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6.01. Министр финансов Заемщика выступает в качестве представителя Заемщика для целей, изложенных в Разделе 12.02 Правил предоставления займа.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6.02. Нижеследующие реквизиты указаны для целей, изложенных в Разделе 12.01 Правил предоставления займа: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Заемщика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Проспект Победы,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Астана, 010000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+7 (7172) 71 77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АБР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Asian Development Bank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ADB Avenue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Mandaluyong City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1550 Metro Manila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Philippines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(632) 636-2444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(632) 636-2428.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ПОДТВЕРЖДЕНИЕ ВЫШЕИЗЛОЖЕННОГО стороны настоящего Соглашения в лице их уполномоченных представителей обеспечили подписание настоящего Соглашения о займе соответствующими подписями и его доставку в штаб-квартиру АБР в день и год, указанные выше.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Уполномоченный представитель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АЗИАТСКИЙ БАНК РАЗВИТИЯ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1</w:t>
      </w:r>
      <w:r>
        <w:br/>
      </w:r>
      <w:r>
        <w:rPr>
          <w:rFonts w:ascii="Times New Roman"/>
          <w:b/>
          <w:i w:val="false"/>
          <w:color w:val="000000"/>
        </w:rPr>
        <w:t>
Описание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Цель Инвестиционной программы - содействие устойчивому экономическому развитию Заемщика путем развитие эффективной транспортной системы в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Согласно детальному описанию в ПЗФ, Проект будет состоять из следующих Частей: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Реконструкция 49-километров 2-полосной дороги категории II участка Аспара-Благовещенка (между 261.5 км и 310.05 км) расположенного между Таразом и Кордай в Жамбылской области и ее расширением в 4-х полосную дорогу категории IB;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Консультационные услуги по надзору за строительством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Завершение проекта ожидается к 1 июля 2014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2</w:t>
      </w:r>
      <w:r>
        <w:br/>
      </w:r>
      <w:r>
        <w:rPr>
          <w:rFonts w:ascii="Times New Roman"/>
          <w:b/>
          <w:i w:val="false"/>
          <w:color w:val="000000"/>
        </w:rPr>
        <w:t>
График погашения займа</w:t>
      </w:r>
      <w:r>
        <w:br/>
      </w:r>
      <w:r>
        <w:rPr>
          <w:rFonts w:ascii="Times New Roman"/>
          <w:b/>
          <w:i w:val="false"/>
          <w:color w:val="000000"/>
        </w:rPr>
        <w:t>
(Транспортный коридор ЦАРЭС 1 [Участки в Жамбылской области]</w:t>
      </w:r>
      <w:r>
        <w:br/>
      </w:r>
      <w:r>
        <w:rPr>
          <w:rFonts w:ascii="Times New Roman"/>
          <w:b/>
          <w:i w:val="false"/>
          <w:color w:val="000000"/>
        </w:rPr>
        <w:t>
[Международный транзитный коридор Западная Европа - Западный</w:t>
      </w:r>
      <w:r>
        <w:br/>
      </w:r>
      <w:r>
        <w:rPr>
          <w:rFonts w:ascii="Times New Roman"/>
          <w:b/>
          <w:i w:val="false"/>
          <w:color w:val="000000"/>
        </w:rPr>
        <w:t>
Китай] Инвестиционная программа - Проект 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нижеследующей таблице указаны Даты выплаты основной суммы займа и процент от общей основной суммы займа, подлежащий оплате на каждую Дату выплаты основной суммы займа (Очередной взнос). Если средства займа были в полном объеме сняты на момент первой даты платежа в погашение основной суммы займа, то основная сумма займа, подлежащая погашению Заемщиком на каждую дату платежа основной суммы займа, будет определена АБР путем умножения: (a) общей основной суммы займа, востребованного и невостребованного на момент первой даты платежа в погашение основного займа; на (b) Очередной взнос для каждой даты платежа в погашение основного займа, такая сумма погашения будет модифицирована по необходимости для вычета любых сумм, описанных в пункте 4 настоящего Приложения, к которым применима Конвертация валюты.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5"/>
        <w:gridCol w:w="6865"/>
      </w:tblGrid>
      <w:tr>
        <w:trPr>
          <w:trHeight w:val="285" w:hRule="atLeast"/>
        </w:trPr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платежа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Очередной взнос (выраженный в %)</w:t>
            </w:r>
          </w:p>
        </w:tc>
      </w:tr>
      <w:tr>
        <w:trPr>
          <w:trHeight w:val="270" w:hRule="atLeast"/>
        </w:trPr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2015 года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2016 года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2016 года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2017 года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2017 года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2018 года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2018 года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2019 года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2019 года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2020 года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2020 года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2021 года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2021 года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2022 года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2022 года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2023 года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2023 года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2024 года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2024 года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2025 года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2025 года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2026 года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2026 года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2027 года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2027 года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2028 года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2029 года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2029 года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2030 года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2030 года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2031 года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2031 года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2032 года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2032 года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2033 года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2033 года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2034 года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2034 года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2035 года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100.000000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Если средства займа не были в полном объеме востребованы на момент первой даты платежа в погашение основного займа, основная сумма займа, подлежащая оплате Заемщиком на каждую дату платежа в погашение основного займа, будет определена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В той степени, в которой любые средства займа, которые следовало востребовать на момент первой даты платежа в погашение основного займа, Заемщик обязуется выплатить сумму, востребованную и не востребованную, на момент этой даты в соответствии с пунктом 1 настоящего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Любое снятие средств, произведенное после первой даты платежа в погашение основного займа, подлежит погашению в каждую дату платежа в погашение основного займа, выпадающую после момента даты данного снятия в суммах, определенных АБР путем умножения суммы каждого снятия на дробь, числитель которой составляет первоначальный Очередной взнос, указанный в таблице в пункте 1 настоящего Приложения для вышеупомянутой даты платежа в погашение основного займа (Первоначальный Очередной взнос), и знаменатель которой составляет сумму всех оставшихся Первоначальных очередных взносов для дат платежей в погашение основного займа, выпадающих на момент или после данной даты, данные суммы выплат будут модифицироваться при необходимости для вычета сумм, указанных в пункте 4 настоящего Приложения, к которым применяется Конвертация валюты.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Снятия средств, произведенные в течение двух календарных месяцев до любой из дат платежей в погашение основного займа, исключительно в целях подсчета основных сумм, подлежащих оплате в любой день основного погашения, следует считать востребованными и невостребованными на момент второй даты платежа в погашение основного займа после даты снятия, и данная сумма подлежит оплате в каждую дату платежа в погашение основного займа, начиная со второй даты платежа в погашение основного долга после даты снятия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Вне зависимости от положений пунктов 1 и 2 настоящего Приложения, при Конвертации валют в полном объеме или частично востребованных средств основной суммы займа на утвержденную валюту, сумма средств, конвертированных на вышеупомянутую утвержденную валюту, которая подлежит погашению в любую из дат погашения основной суммы в течение периода Конвертации, будет определяться АБР путем умножения данной суммы в валюте деноминации непосредственно перед вышеупомянутой Конвертацией на либо: (i) курс обмена валют, отражающий основные суммы в указанной утвержденной валюте, подлежащие выплате АБР в рамках двойной конвертации валют, относящегося к вышеупомянутой Конвертации; либо (ii) по решению АБР в соответствии с Руководством по Конвертации, на компонент курса обмена валют установленной 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Если основная сумма займа, востребованного и невостребованного, будет периодически номинирована в более чем одной валюте займа, положения настоящего Приложения должны применяться в отдельности к суммам, номинированным в каждой валюте займа, с целью разработать отдельный график погашения для каждой из этих сумм.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3</w:t>
      </w:r>
      <w:r>
        <w:br/>
      </w:r>
      <w:r>
        <w:rPr>
          <w:rFonts w:ascii="Times New Roman"/>
          <w:b/>
          <w:i w:val="false"/>
          <w:color w:val="000000"/>
        </w:rPr>
        <w:t>
Распределение и снятие средств займа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Таблица в настоящем Приложении (как показано в Дополнении к настоящему Приложению) излагает Категории статей расходов, финансируемых за счет средств займа, а также распределение сумм займа для каждой такой Категории (Таблица). (Упоминания понятий "Категория" или "Категории" в настоящем Приложении относятся к Категории или Категориям Таблицы).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Процентные значения финансирования АБР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Если АБР не согласовано иное, каждая из статей расходов будет финансироваться за счет средств займа на основе процентных значений, указанных в Таблице.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Перераспределение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Вне зависимости от распределения средств займа и процентов снятия средств, указанных в Таблице,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если сумма займа, выделенная для любой категории является недостаточной для финансирования всех согласованных расходов данной Категории, АБР вправе, путем уведомления Заемщика,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(i) перераспределить средства для данной Категории в степени, необходимой для восполнения нехватки средств за счет средств, выделенных для другой категории, но, по мнению АБР, не нужных для финансирования других расходов, а также (ii) если данное перераспределение не может в полной мере восполнить рассчитанный дефицит, уменьшить процент снятия средств для данных расходов с тем, чтобы дальнейшие снятия для данной Категории производились до тех пор, пока все расходы не были покрыты;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если сумма займа, выделенная на какую-либо Категорию, превышает все согласованные расходы в данной Категории, АБР вправе, путем уведомления Заемщика, перераспределить такую избыточную сумму в пользу другой Категории.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Процедура выплаты займа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Если АБР не согласовано иное, средства займа подлежат выплате в соответствии со Справочником по выплате средств займа АБР.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Добавление к Приложению 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ТАБЛИЦА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3292"/>
        <w:gridCol w:w="3805"/>
        <w:gridCol w:w="5241"/>
      </w:tblGrid>
      <w:tr>
        <w:trPr>
          <w:trHeight w:val="6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РАСПРЕДЕЛЕНИЕ И СНЯТИЕ СРЕДСТВ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(Транспортный коридор ЦАРЭС 1 [Участки в Жамбылской области]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[Международный транзитный коридор Западная Европа – Западный Китай]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Инвестиционная программа – Проект 4)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 ФИНАНСИРОВАНИЯ АБР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распределенная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финансирования АБР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$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Процент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АБР со счета займа</w:t>
            </w:r>
          </w:p>
        </w:tc>
      </w:tr>
      <w:tr>
        <w:trPr>
          <w:trHeight w:val="30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97,600,000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процентов 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 суммы затрат</w:t>
            </w:r>
          </w:p>
        </w:tc>
      </w:tr>
      <w:tr>
        <w:trPr>
          <w:trHeight w:val="30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4,800,000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процентов 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 суммы затрат*</w:t>
            </w:r>
          </w:p>
        </w:tc>
      </w:tr>
      <w:tr>
        <w:trPr>
          <w:trHeight w:val="30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Нераспределенные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10,500,000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112,000,000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*Не включая налоги и пошлины, взимаемые на территории Заемщика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4</w:t>
      </w:r>
      <w:r>
        <w:br/>
      </w:r>
      <w:r>
        <w:rPr>
          <w:rFonts w:ascii="Times New Roman"/>
          <w:b/>
          <w:i w:val="false"/>
          <w:color w:val="000000"/>
        </w:rPr>
        <w:t>
Закупки работ и консультационных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Все работы и консультационные услуги подлежат исполнению и контролю в соответствии с Руководством по закупкам, и Руководством по привлечению консультационных услуг,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Все термины, используемые и не определенные по-другому в настоящем Соглашении о займе, имеют значения, изложенные в Руководстве по закупкам и/или Руководстве по привлечению консультационных услуг в соответствующих случаях.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Закупка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Если АБР не согласился на иное, работы должны будут приобретаться на основе процедуры закупок, изложенных ниже: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Международные конкурсные торги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Процедура закупок, помимо прочих условий, подлежит исполнению в соответствии с детальными договоренностями и пороговыми стоимостями, указанными в Плане закупок. Заемщик вправе модифицировать процедуру закупок или пороговые стоимости только при условии предварительного согласования с АБР, при этом все изменения должны отражаться в дополнениях к Плану закупок.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Условия по присуждению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Заемщик не должен присуждать контракты по работам до тех пор пока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(i) Завершенные ПЭО и ПУОС не будут одобрены АБР;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(ii) ПВЗП не будет выполнен в соответствии с условиями.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Выбор консультационных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Если АБР не указано иное, Заемщик вправе применить метод отбора консультантов или их объем услуг с учетом качественных и ценовых параметров отбора.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Права на промышленную и интеллектуальную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(a) Заемщик обязуется обеспечить, чтобы приобретенные работы (включая, но не ограничиваясь всем компьютерным аппаратным и программным обеспечением, компьютерными системами, приобретенными либо отдельно, либо в составе прочих товаров и услуг) не нарушали или ущемляли любое право третьих лиц на промышленную или интеллектуальную собственность или требование.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Заемщик обязуется убедиться в том, что все контракты по закупкам работ содержат соответствующие представления, гарантии и, если необходимо, гарантии возмещения убытков со стороны подрядчика или поставщика в отношении случаев, указанных в подпункте (a)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Заемщик обязуется убедиться в том, что все контракты с консультантами, финансируемые АБР, содержат соответствующие представления, гарантии и, если необходимо, гарантии возмещения убытков со стороны консультантов, для того, чтобы убедиться в том, что предоставляемые консультационные услуги не нарушают или ущемляют любое право третьих лиц на промышленную или интеллектуальную собственность или требование.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Рассмотрение АБР решений о закупках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Все контракты, приобретаемые в соответствии с международными конкурсными процедурами, и контракты для Консультационных услуг подлежат предварительному рассмотрению АБР, если иное не оговорено между Заемщиком и АБР и не указано в Плане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Прежде чем предоставить продление установленного периода на завершение работ по контракту, прежде чем согласиться на любые изменения или отказ по срокам и условиям этого контракта, в том числе написание заявки на изменение или заявок в рамках этого контракта, Заемщик должен получить одобрение со стороны АБР на предлагаемое продление, изменение. Если АБР определит, что предолжения несовместимы с условиями Соглашения о займе и/или Планом закупок, то должен незамедлительно проинформировать Заемщика и объяснить причины данного решения. Копии всех поправок к контракту должны быть представлены в АБР для учета.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5</w:t>
      </w:r>
      <w:r>
        <w:br/>
      </w:r>
      <w:r>
        <w:rPr>
          <w:rFonts w:ascii="Times New Roman"/>
          <w:b/>
          <w:i w:val="false"/>
          <w:color w:val="000000"/>
        </w:rPr>
        <w:t>
Исполнение проекта и эксплуатация проектных объектов;</w:t>
      </w:r>
      <w:r>
        <w:br/>
      </w:r>
      <w:r>
        <w:rPr>
          <w:rFonts w:ascii="Times New Roman"/>
          <w:b/>
          <w:i w:val="false"/>
          <w:color w:val="000000"/>
        </w:rPr>
        <w:t>
финансовые вопросы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Порядок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качестве исполнительного агентства по Проекту МТК будет нести общую ответственность за реализацию Проекта. МТК и Комитет автодорог МТК, в качестве реализующего агентства, которому будут помогать (а) КУП-АБР и (b) консультанты по надзору за строительством, привлеченные по данному проекту.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Заемщик обязан убедится в том, что (а) МТК мобилизовало консультантов, ответственных за надзор за строительством, до начала любых работ; (b) назначен компетентный персонал МТК и Комитетом дорог для оказания поддержки в течение всего периода реализации проекта; и (с) МТК выполняет проект в соответствии и с использованием графика внедрения по согласованию с АБР.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Мониторинг, Обзор и Оценка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Заемщик обязан обеспечить, чтобы МТК проводило мониторинг и оценку выполнения данного проекта посредством системы мониторинга эффективности реализации проекта. Ключевые показатели и предполагаемые результаты, представленные в качестве ожидаемых результатов и воздействия проекта в структуре мониторинга и дизайна, будут служить первичными данными, необходимыми для анализа.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течение 1 года после Даты вступления займа в силу будет проведен совместный промежуточный обзор проекта. Данный совместный промежуточный обзор будет нацелен на инженерные, экологические и социальные меры безопасности проекта, соответствие условиям займа и обязательствам, изложенным в РСФ. Оценка позволит провести все необходимые промежуточные изменения для обеспечения успешного внедрения и достижения целей проекта и Инвестиционной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Система финансового управления, аудит и отчетность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Заемщик обязан убедиться в том, что (а) будет создана и будет работать система финансового управления в соответствии с требованиями АБР;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будет проводиться финансовый аудит по проекту на ежегодной основе в соответствии с техническим заданием, разработанным АБР.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Без предубеждения к положениям (а) Раздела 4.05 настоящего Соглашения о Займе и (b) Статьи VII Правил предоставления займов Заемщик обязуется убедиться в том, что все участники выполнения проекта ведут отдельные записи и счета для использования соответствующих средств Займа; а также средств Заемщика, служащих для той же цели. В дополнение к требованиям, указанным в Разделе 7.04 Правил предоставления займов, Заемщик поручит МТК предоставить в АБР: (а) месячные отчеты в течение 10 календарных дней после окончания каждого месяца с даты вступления займа в силу для обновления информации о статусе соответствующих мероприятий по реализции проекта и связанных с ними вопросов; (b) квартальные отчеты о достигнутых результатах, в течение 2 недель по окончании каждого квартала с даты вступления займа в силу, и (c) другие отчеты о процессе выполнения и мониторинге раз в полгода.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Софинансирование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Не ограничивая общий смысл Раздела 4.02 настоящего Соглашения о займе, Заемщик обязуется обеспечить доступность всех средств софинансирования, необходимых для своевременного и эффективного исполнения проекта в виде ежегодно выделяемых бюджетных средств для МТК и обязуется убедиться в том, что необходимые ресурсы предоставляются своевременно. Заемщик обязуется убедиться в том, что МТК включает все измененные потребности в финансировании для реализации проекта в его ежегодных программах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Качество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Заемщик поручит МТК обеспечить, чтобы проект исполнялся в соответствии с применимыми техническими спецификациями и планами, и чтобы надзор за строительством, контроль качества и управление проектом производились в соответствии с применимыми стандартами и лучшим международным опытом.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Контракты на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Без предубеждения к положениям пунктов 11, 12, 13, 14 и 15 Приложения 5 настоящего Соглашения о займе, Заемщик поручит МТК обеспечить, чтобы после присуждения контрактов на работы ни одно из уведомлений о начале работ не было выдано соответствующим подрядчикам до тех пор, пока не будут соблюдены все применимые положения ПВЗП (включая, в частности положения о своевременной выплате компенсации пострадавшим людям) относящиеся к соответствующим разделам дороги по проекту, ПЭО и обновленные ПУОС. Заемщик должен также поручить МТК (а) убедиться в том, что все контракты на строительные работы включают в себя обязательство подрядчика выполнять меры по обеспечению безопасности дорожного движения; и (b) осуществить мониторинг уровня аварийности и интенсивности движения во время эксплуатации проектной дороги.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Недопущение незаконной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Заемщик полностью обеспечит выполнение на проектной дороге надежных и строгих мер для выявления и предотвращения незаконной торговли людьми, диких животных, редких видов животных и контролируемых веществ.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Окружающая среда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Заемщик поручит МТК убедиться в том, что (a) проектные решения, строительство и эксплуатация и техническое обслуживание Проектных объектов производятся в соответствии с Политикой АБР о мерах безопасности (2009), природоохранным законодательством и нормативными требованиями Заемщика, РДЭОО, общей оценкой воздействия на окружающую среду, подготовленной для Инвестиционной программы и согласованной с АБР, и ОВОС; и (b) потенциальное вредное воздействие проекта на окружающую среду снижено за счет принятия всех мер минимизации и мониторинга, как указано в ПУОС.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Заемщик поручит МТК дополнительно убедиться в том, что (a) ПУОС обновлен до выдачи любого уведомления о начале работ; (b) достаточные ресурсы предоставлены для реализации, мониторинга и отчетности выполнения ПУОС; (c) полугодовые экологические отчеты подготовлены и предоставлены в АБР в течение одного месяца после каждого периода, по которому составляется отчет; (d) отчеты включают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помимо прочего</w:t>
      </w:r>
      <w:r>
        <w:rPr>
          <w:rFonts w:ascii="Times New Roman"/>
          <w:b w:val="false"/>
          <w:i w:val="false"/>
          <w:color w:val="000000"/>
          <w:sz w:val="28"/>
        </w:rPr>
        <w:t>, обзор достижений в выполнении ПУОС и ПЭО, проблемы и меры по решению данных проблем; (e) детальный инженерный план и контракты на строительные работы в рамках проекта включают применяемые экологические меры, обозначенные в ПЭО и ПУОС; и (f) подрядчики контролируются в целях обеспечения соответствия требованиям ПЭОС и ПУОС.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Выкуп земель и переселение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Заемщик поручит МТК убедиться в том, что Проект исполняется в соответствии с действующим законодательством и нормативными требованиями Заемщика, Политикой АБР о мерах безопасности (2009), и РДВЗП и ПВЗП включая,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помимо прочего</w:t>
      </w:r>
      <w:r>
        <w:rPr>
          <w:rFonts w:ascii="Times New Roman"/>
          <w:b w:val="false"/>
          <w:i w:val="false"/>
          <w:color w:val="000000"/>
          <w:sz w:val="28"/>
        </w:rPr>
        <w:t>, следующие положения: (а) ПВЗП должен быть доведен до сведения лиц, чьи интересы затронуты в рамках проекта в соответствии с положениями РДВЗП; (b) ПВЗП необходимо предоставить на рассмотрение и одобрение АБР до присуждения каких-либо контрактов на строительные работы; (c) все земельные участки и полоса отвода, необходимые для проекта, должны быть выкуплены и предоставлены своевременно; (d) никакого физического или экономического переселения не должно происходить и никакие указания подрядчикам о начале работ до тех пор, пока: (i) ПВЗП будет окончательно разработан, который включает план, создающий условия для восстановления дохода и уровня жизни с целью оказания помощи перемещенным лицам; (ii) не будут произведены компенсации полной стоимости замещения каждому перемещенному лицу для соответствующих компонентов проекта или участков, готовых к строительству; (iii) другие виды помощи, указанные в соответствующем плане переселения, предоставлены перемещенным лицам; (е) эффективные механизмы рассмотрения жалоб должны быть установлены для оказания помощи лицам, чьи интересы затрагиваются проектом для своевременного разрешения вопросов и жалоб, при их возникновении; (f) необходимый персонал и ресурсы для осуществления контроля и мониторинга реализации ПВЗП; (g) независимая организация по проведению мониторинга, приемлемая для АБР, будет проводить внешний мониторинг и оценку ПВЗП, и представлять результаты в АБР каждые 6 месяцев; и (h) если в период исполнения ПВЗП выявлены любые изменения местности, разбивка дорог, либо дополнительные воздействия на окружающую среду и/или переселение, необходимо внести дополнения в ПВЗП и получить предварительное одобрение АБР и соответствующих правительственных органов до дальнейшей реализации ПВЗП.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Заемщик обязуется проводить анализ и поиск равноценных земельных участков для предоставления арендаторам земель, затронутым проектом, или предоставлять другие виды поддержки таким арендаторам в соответствии с применимым правом и законодательством Заемщика, Политикой АБР о мерах безопасности (2009), РДВЗП и ПВЗП для оказания помощи в восстановлении их уровня жизни. Результаты вышеуказанного будут прилагаться к окончательному варианту ПВЗП. В случае, если будет выявлено, что государственных резервных земельных участков в наличии нет, Заемщик предпримет меры по предоставлению арендаторам, затронутым проектом (фермерам, у которых договор аренды на срок хотя бы 5 лет - арендаторы, затронутые проектом), достаточной финансовой или технической помощи для увеличения или расширения производства на оставшихся у них участке(ах) земли. Информация, относящаяся к вышеупомянутому, в т.ч. список арендаторов, затронутых проектом, затраты, графики и меры, предпринимаемые по таким компенсациям будет изложена в окончательном варианте ПВЗП.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Охрана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Заемщик поручит МТК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включение положений в контракты на работы с тем, чтобы обеспечить соблюдение строительными подрядчиками (i) применимых основных стандартов труда, трудового законодательства и применения соответствующих норм безопасности труда на рабочем месте; (ii) равной оплаты мужчинам и женщинам за равный труд; (iii) неиспользование детского труда при строительстве и мероприятиях по техническому обслуживанию дорог; (iv) в возможном объеме максимальное трудоустройство местного малоимущего и неблагополучного населения для строительных целей проекта при условии адекватного выполнения требований к работе и эффективности, и (v) содействовать трудоустройству опытных и неопытных работающих женщин,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осуществление распространения информации о рисках заболеваний, распространяющихся половым путем, включая ВИЧ/СПИД, среди работников подрядных организаций, привлеченных в рамках проекта и среди местных жителей, проживающих в непосредственной близости к проектной дороге.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Борьба с коррупцией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Заемщик обязуется следовать </w:t>
      </w:r>
      <w:r>
        <w:rPr>
          <w:rFonts w:ascii="Times New Roman"/>
          <w:b w:val="false"/>
          <w:i/>
          <w:color w:val="000000"/>
          <w:sz w:val="28"/>
        </w:rPr>
        <w:t>Политике АБР по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(от 1998 года, с поправками на настоящее время). Заемщик в соответствии с его обязательством следовать принципам рационального управления, отчетности и прозрачности, соглашается, что АБР вправе расследовать, непосредственно либо через его агентов, все предполагаемые случаи коррупции, мошенничества, тайного сговора или принуждения, относящиеся к проекту, и что Заемщик будет сотрудничать в полной мере и содействовать любому такому расследованию в необходимой степени оказания поддержки, включая обеспечение доступа к соответствующим отчетам и записям, по мере необходимости, для удовлетворительного завершения любого такого расследования. Кроме того, Заемщик поручит МТК (a) проводить периодические проверки действий подрядчиков, относящихся к снятию средств займа и выплатам по нему; (b) убедиться в том, что все контракты, финансируемые АБР в рамках проекта, включают положения, устанавливающие право АБР проводить аудит и производить проверку записей и счетов всех подрядчиков, поставщиков, консультантов, а также поставщиков услуг, относящихся к проекту; (c) убедиться в том, чтобы консультант по надзору за строительством проверял платежные сертификаты подрядчиков в соответствии с рабочими чертежами и спецификациями контракта; и (d) убедиться в выполнении плана борьбы с коррупцией, разработанного для Инвестиционной программы и согласованного с АБР.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