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187" w14:textId="50bb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использовании унифицированной нормативно-справочной информации таможенных служб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об использовании унифицированной нормативно-справочной информации таможенных служб государств-членов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об использовании унифицированной нормативно-справочной информации таможенных служб государств-членов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унифицированной нормативно-справочной</w:t>
      </w:r>
      <w:r>
        <w:br/>
      </w:r>
      <w:r>
        <w:rPr>
          <w:rFonts w:ascii="Times New Roman"/>
          <w:b/>
          <w:i w:val="false"/>
          <w:color w:val="000000"/>
        </w:rPr>
        <w:t>
информации таможенных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Евразийского экономического сообщества,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Таможенном союзе и Едином экономическом пространстве от 26 февраля 1999 года и Договором об учреждении Евразийского экономического сообщества от 10 октября 2000 года, принимая во внимание статью 3 Соглашения о единых подходах к применению информационных технологий в деятельности таможенных служб государств-членов Евразийского экономического сообщества от 9 июня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информационной совместимости автоматизированных систем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интеграции информационных ресурсов таможенных служб государств-членов ЕврАзЭС на основе организации информационного взаимодействия между таможенными службами государств Сторон с использованием унифицированной системы классификации и кодирования информации, используемой при осуществлении таможенного контроля за перемещением товаров и транспортных средств через границы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международные стандарты классификации и кодирования информации и необходимость их использования для информационного взаимодействия между таможенными службами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используемые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"справочник" - систематизированный, структурированный и кодифицированный перечень однородной по своему содержанию или сути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"классификатор" - систематизированный, структурированный и кодифицированный перечень наименований объектов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"нормативно-справочная информация" - совокупность справочников и классификаторов, которые используются при осуществлении информационного обмена между таможенными службами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"унифицированная система классификации и кодирования информации" - совокупность справочников, классификаторов нормативно-справочной информации, а также порядка и методологии их разработки, ведения и применения.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Протокола является создание условий для поэтапного формирования унифицированной системы классификации и кодирования информации, необходимой для осуществления информационного взаимодействия таможенных служб государств-членов ЕврАзЭС в рамках реализации Соглашения о единых подходах к применению информационных технологий в деятельности таможенных служб государств-членов ЕврАзЭС от 9 июня 2009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Таможенные службы государств Сторон формируют унифицированную систему классификации и кодирования информации для ее использования при информационном обмене между информационными системами таможенных служб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формирования унифицированной системы классификации и кодирования информации таможенные службы государств Сторон применяют нижеследующие правила, рекомендованные Европейской экономической комиссией Организации Объединенных Наций: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типа транспортного средства должен соответствовать классификатору видов транспорта (Рекомендация № 19 Рабочей группы по упрощению процедур международной торговли);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должен соответствовать справочнику ISO 3166-2006 "Коды для представления наименований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валюты должен соответствовать справочнику ISO 4217-2000 "Коды для представления валют и фондов";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и наименования дополнительных единиц измерения должны соответствовать справочнику кодов и наименований для единиц измерения, используемых в международной торговле (Рекомендация № 20 Рабочей группы по упрощению процедур международной торговли. "Коды для единиц измерения, используемых в международной торговле").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формировании таможенными службами государств Сторон информации, подлежащей обмену между информационными системами таможенных служб государств Сторон, применяются коды товаров общей Товарной номенклатуры внешнеэкономической деятельности Евразийского экономического сообщества в соответствии с Соглашением об общей Товарной номенклатуре внешнеэкономической деятельности Евразийского экономического сообщества от 20 сентября 2002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Таможенные службы государств Сторон унифицируют нормативные правовые акты, регламентирующие порядок формирования и использования справочников и классификаторов в автоматизированных информационных системах таможенных служб государств Сторон в соответствии с правилами, указанными в статье 4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Таможенные службы государств Сторон организуют совместную работу по установлению соответствия между унифицированной нормативно-справочной информацией и Моделью данных, рекомендуемой Всемирной таможенной организацией.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Таможенные службы государств Сторон могут на основе двухсторонних или многосторонних международных договоров расширять перечень правил формирования унифицированных справочников и классификаторов, приведенных в статье 4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между Сторонами, связанные с применением или толкованием положений настоящего Протокола, разрешаются путем консультаций и переговоров между ними.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Протокол могут вноситься изменения и дополнения, которые оформляются отдельными протоколами, являющимися его неотъемлемыми частями.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депозитарием, которым является Интеграционный Комитет ЕврАзЭС,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 Любая Сторона может выйти из настоящего Протокола, направив соответствующее письменное уведомление депозитарию. Действие настоящего Протокола для такой Стороны прекращается по истечении 6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"__" ________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Протокола сдается на хранение в Интеграционный Комитет Евразийского экономического сообщества, который направит каждой из Сторон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 Правительство 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Беларусь    Республики Казахстан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Российской Федерации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