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fb1" w14:textId="2f1f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2011 года № 457.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 мерах по выполнению Решения Межгосударственного Совета</w:t>
      </w:r>
      <w:r>
        <w:br/>
      </w:r>
      <w:r>
        <w:rPr>
          <w:rFonts w:ascii="Times New Roman"/>
          <w:b/>
          <w:i w:val="false"/>
          <w:color w:val="000000"/>
        </w:rPr>
        <w:t>(высшего органа таможенного союза) Евразийского экономического</w:t>
      </w:r>
      <w:r>
        <w:br/>
      </w:r>
      <w:r>
        <w:rPr>
          <w:rFonts w:ascii="Times New Roman"/>
          <w:b/>
          <w:i w:val="false"/>
          <w:color w:val="000000"/>
        </w:rPr>
        <w:t>сообщества "О едином нетарифном регулировании таможенного союза</w:t>
      </w:r>
      <w:r>
        <w:br/>
      </w:r>
      <w:r>
        <w:rPr>
          <w:rFonts w:ascii="Times New Roman"/>
          <w:b/>
          <w:i w:val="false"/>
          <w:color w:val="000000"/>
        </w:rPr>
        <w:t>Республики Беларусь, Республики Казахстан</w:t>
      </w:r>
      <w:r>
        <w:br/>
      </w:r>
      <w:r>
        <w:rPr>
          <w:rFonts w:ascii="Times New Roman"/>
          <w:b/>
          <w:i w:val="false"/>
          <w:color w:val="000000"/>
        </w:rPr>
        <w:t>и Российской Федерации" от 27 ноября 2009 года № 19</w:t>
      </w:r>
    </w:p>
    <w:p>
      <w:pPr>
        <w:spacing w:after="0"/>
        <w:ind w:left="0"/>
        <w:jc w:val="both"/>
      </w:pPr>
      <w:r>
        <w:rPr>
          <w:rFonts w:ascii="Times New Roman"/>
          <w:b w:val="false"/>
          <w:i w:val="false"/>
          <w:color w:val="000000"/>
          <w:sz w:val="28"/>
        </w:rPr>
        <w:t xml:space="preserve">
      В целях реализации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1. Правительству Республики Казахстан:</w:t>
      </w:r>
    </w:p>
    <w:p>
      <w:pPr>
        <w:spacing w:after="0"/>
        <w:ind w:left="0"/>
        <w:jc w:val="both"/>
      </w:pPr>
      <w:r>
        <w:rPr>
          <w:rFonts w:ascii="Times New Roman"/>
          <w:b w:val="false"/>
          <w:i w:val="false"/>
          <w:color w:val="000000"/>
          <w:sz w:val="28"/>
        </w:rPr>
        <w:t>
      1) обеспечить реализацию Положения о порядке ввоза на таможенную территорию таможенного союза в рамках Евразийского экономического сообщества и вывоза с таможенной территории таможенного союза в рамках Евразийского экономического сообщества драгоценных металлов, драгоценных камней и сырьевых товаров, содержащих драгоценные металлы, утвержденного вышеуказанным Решением;</w:t>
      </w:r>
    </w:p>
    <w:p>
      <w:pPr>
        <w:spacing w:after="0"/>
        <w:ind w:left="0"/>
        <w:jc w:val="both"/>
      </w:pPr>
      <w:r>
        <w:rPr>
          <w:rFonts w:ascii="Times New Roman"/>
          <w:b w:val="false"/>
          <w:i w:val="false"/>
          <w:color w:val="000000"/>
          <w:sz w:val="28"/>
        </w:rPr>
        <w:t>
      2) в установленном законодательством порядке принять меры по определению правил ввоза и вывоза необработанных природных алмазов с учетом Схемы сертификации Кимберлийского процесса.</w:t>
      </w:r>
    </w:p>
    <w:p>
      <w:pPr>
        <w:spacing w:after="0"/>
        <w:ind w:left="0"/>
        <w:jc w:val="both"/>
      </w:pPr>
      <w:r>
        <w:rPr>
          <w:rFonts w:ascii="Times New Roman"/>
          <w:b w:val="false"/>
          <w:i w:val="false"/>
          <w:color w:val="000000"/>
          <w:sz w:val="28"/>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