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d2ea" w14:textId="821d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государственного кадастра захоронений вредных веществ, радиоактивных отходов и сброса сточных вод в недра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февраля 2011 года № 88. Утратило силу постановлением Правительства Республики Казахстан от 3 апреля 2015 года № 196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03.04.2015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24 июня 2010 года "О недрах и недропользовании"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кадастра захоронений вредных веществ, радиоактивных отходов и сброса сточных вод в недра.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1996 года № 1285 "Об утверждении Правил ведения государственного кадастра захоронения вредных веществ, радиоактивных отходов и сброса сточных вод в недра" (САПП Республики Казахстан, 1996 г., № 42, ст. 403);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2006 года № 323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1996 года № 1285" (САПП Республики Казахстан, 2006 г., № 14, ст. 138).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охраны окружающей среды Республики Казахстан в установленном законодательством порядке привести ведомственные нормативные акты в соответствие с настоящим постановлением.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2011 года № 88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ведения государственного кадастра захоронений вредных веществ,</w:t>
      </w:r>
      <w:r>
        <w:br/>
      </w:r>
      <w:r>
        <w:rPr>
          <w:rFonts w:ascii="Times New Roman"/>
          <w:b/>
          <w:i w:val="false"/>
          <w:color w:val="000000"/>
        </w:rPr>
        <w:t>
радиоактивных отходов и сброса сточных вод в недра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ведения государственного кадастра захоронений вредных веществ, радиоактивных отходов и сброса сточных вод в недра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24 июня 2010 года </w:t>
      </w:r>
      <w:r>
        <w:rPr>
          <w:rFonts w:ascii="Times New Roman"/>
          <w:b w:val="false"/>
          <w:i w:val="false"/>
          <w:color w:val="000000"/>
          <w:sz w:val="28"/>
        </w:rPr>
        <w:t>"О недрах и недропользовании"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кадастр захоронений содержит сведения, характеризующие тип и вид захороненных веществ и сброшенных вод с указанием их количественных и качественных показателей, горнотехнических, специальных инженерно-геологических, гидрогеологических и экологических условий захоронения и сброса, и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общую характеристику объектов захоронения вредных веществ, радиоактивных отходов и мест сброса сточных вод: месторасположение, период эксплуатации, затраты на содержание, наличие и расположение наблюдательной сети мониторинга состояния окружающей среды и мониторинга недр;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физическую характеристику объектов захоронения вредных веществ, радиоактивных отходов и мест сброса сточных вод: характеристику изоляции, тип горных пород, глубину залегания и эффективную мощность пласта-коллектора, его площадь, коэффициент пористости, характеристику подстилающего и перекрывающего водоупора, скорость естественного потока подземных вод, хранение сброса и другие количественные и качественные показатели;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характеристику вредных веществ, радиоактивных отходов, сточных вод: наименование продукта, технологическое производство или процесс, в результате которого образуется продукт, физическую характеристику (полный химический состав, содержание токсичных компонентов, пожаровзрывоопасность, растворимость, совместимость с другими веществами при хранении, основные загрязняющие радионуклиды, их активность и другие характеристики), характеристику системы транспортировки.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кадастр захоронений ведется отдельно для вредных веществ, радиоактивных отходов и сточных вод, сбрасываемых в недра, в соответствии с нормативными правовыми актами, утверждаемыми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вредных веществ определен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557 "Об утверждении перечня загрязняющих веществ и видов отходов, для которых устанавливаются нормативы эмиссий, и взимается плата за эмиссии в окружающую среду".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кадастр захоронений ведется отдельно для вредных веществ, радиоактивных отходов и сточных вод по данным отчетности природопользователей, научных исследований, проектных изысканий, других источников экологической информации и оформляется в виде паспортов объектов учета (далее - Паспорт).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Природопользователи, имеющие захоронения вредных веществ, радиоактивных отходов и осуществляющие сброс сточных вод в недра независимо от форм собственности и ведомственной принадлежности, природопользователи ежегодно по состоянию на 1 января в течение первого квартала года, следующего за отчетным, представляют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охраны окружающей среды паспорта, оформленные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Объекты учета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Учету государственного кадастра захоронений подлежат: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места захоронений вредных веществ, не пригодных для дальнейшего использования и переработки ядохимикатов, щелочей, кислот, запрещенных к применению продуктов и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2) места сброса сточных вод следующих групп: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кислой воды после обессоливания нефти (содержащая сероводород, нефтепродукты, механические примеси и растворенные соли, которая совместно с пластовой водой после обезвоживания нефти подается на очистку от сероводорода, нефти и твердых частиц до закачки через нагнетательные скважины в глубокие подземные горизонты);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сточных вод от установки демеркаптанизации (содержащие нейтрализованный щелочь, нефтепродукты, механические примеси, растворимые соли, меркаптиды, сульфиды, поступающие в сеть производственно-дождевой канализации, далее на очистные сооружения очистки производственных вод для удаления нефти и твердых частиц до закачки в нагнетательные скважины);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подтоварной щелочной воды из емкостей хранения товарной нефти (с содержанием механических примесей и нефтепродуктов, которая частично используется для приготовления щелочного раствора, частично поступает на установку нейтрализации щелочи, далее на очистные сооружения для удаления твердых частиц и нефти до закачки в нагнетательные скважины);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талых и дождевых сточных вод, собираемых с асфальтированных площадок, отводимые в сеть производственно-дождевой канализации, далее откачиваемые насосной станцией на очистные сооружения для удаления твердых частиц и нефти до закачки в нагнетательные скважины;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пункты захоронения радиоактивных отходов классифицирующиеся по своему назначению на пункты хранения и пункты захоронения. По глубине расположения пунктов радиоактивных отходов относительно земной поверхности делятся: на приповерхностные (мощность защитного покрова до 10 метров); глубинные (отходы расположены на глубине более 10 метров от дневной поверхности).</w:t>
      </w:r>
    </w:p>
    <w:bookmarkEnd w:id="7"/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Оформление и утверждение паспортов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Паспорта составляются природопользователями в соответствии с приложением, в двух экземплярах по состоянию на 1 января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Паспорта направляются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окружающей среды Республики Казахстан в течение первого квартала текущего года,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Паспорт принимается территориальными органами в области охраны окружающей среды, после чего регистрируется, ставится на учет и хранится в центральном исполнительном органе в области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Паспорт, составленный с отклонениями от требований настоящих Правил, на учет и хранение не принимается, а возвращается природопользователю для устранения замечаний.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ведения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кадастра захоронений вредных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веществ, радиоактивных отходов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сброса сточных вод в недра   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Государственный кадастр захоронения вредных веществ,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радиоактивных отходов и сброса сточных вод в недра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ПАСПОРТ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Экз. №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№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Объект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Составил ________________   ______________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Ф.И.О., должность      подпись   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Проверил ________________   ______________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Ф.И.О., должность      подпись   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Утвердил ________________   ______________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Ф.И.О., должность      подпись   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Организация ___________________________________________________</w:t>
      </w:r>
    </w:p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1. Общая характеристика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(подпункт 1) пункта 1 статьи 157 Экологического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Казахстан)</w:t>
      </w:r>
    </w:p>
    <w:bookmarkEnd w:id="12"/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Схематическая карта объекта учета, масштаб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Географические координаты: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Административное расположение объекта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8"/>
        <w:gridCol w:w="4231"/>
        <w:gridCol w:w="4561"/>
      </w:tblGrid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Город, поселок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Общие сведения эксплуатации объекта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7"/>
        <w:gridCol w:w="2344"/>
        <w:gridCol w:w="1280"/>
        <w:gridCol w:w="1357"/>
        <w:gridCol w:w="1086"/>
        <w:gridCol w:w="3546"/>
      </w:tblGrid>
      <w:tr>
        <w:trPr>
          <w:trHeight w:val="30" w:hRule="atLeast"/>
        </w:trPr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</w:tc>
        <w:tc>
          <w:tcPr>
            <w:tcW w:w="2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содержание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текущий период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Параметры объекта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6"/>
        <w:gridCol w:w="2114"/>
        <w:gridCol w:w="2269"/>
        <w:gridCol w:w="2366"/>
        <w:gridCol w:w="1669"/>
        <w:gridCol w:w="1362"/>
        <w:gridCol w:w="1284"/>
      </w:tblGrid>
      <w:tr>
        <w:trPr>
          <w:trHeight w:val="30" w:hRule="atLeast"/>
        </w:trPr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Длина, км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Ширина, км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Глубина, км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01.01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тыс.т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Данные о мониторинге недр и окружающей среды: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6.1) схема размещения отбора проб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6.2) результаты мониторинга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5"/>
        <w:gridCol w:w="1127"/>
        <w:gridCol w:w="2604"/>
        <w:gridCol w:w="2741"/>
        <w:gridCol w:w="2488"/>
        <w:gridCol w:w="2255"/>
      </w:tblGrid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атмосферного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6.3) параметры мониторинга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1"/>
        <w:gridCol w:w="4347"/>
        <w:gridCol w:w="3882"/>
      </w:tblGrid>
      <w:tr>
        <w:trPr>
          <w:trHeight w:val="30" w:hRule="atLeast"/>
        </w:trPr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отслеживаемых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параметров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 измерений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проведения</w:t>
            </w:r>
          </w:p>
        </w:tc>
      </w:tr>
      <w:tr>
        <w:trPr>
          <w:trHeight w:val="30" w:hRule="atLeast"/>
        </w:trPr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2. Физическая характеристика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(подпункт 2) пункта 1 статьи 157 Экологического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Казахстан)</w:t>
      </w:r>
    </w:p>
    <w:bookmarkEnd w:id="18"/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Технические условия размещения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1846"/>
        <w:gridCol w:w="1827"/>
        <w:gridCol w:w="2488"/>
        <w:gridCol w:w="2099"/>
        <w:gridCol w:w="2547"/>
      </w:tblGrid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изоляции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пористости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подстилающего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перекрывающего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водоупора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сброса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Характеристика основания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4"/>
        <w:gridCol w:w="3926"/>
        <w:gridCol w:w="3810"/>
        <w:gridCol w:w="3460"/>
      </w:tblGrid>
      <w:tr>
        <w:trPr>
          <w:trHeight w:val="30" w:hRule="atLeast"/>
        </w:trPr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пород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</w:t>
            </w:r>
          </w:p>
        </w:tc>
        <w:tc>
          <w:tcPr>
            <w:tcW w:w="3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Физико-механические свойства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 основания, км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 по верху, км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3. Характеристика отхода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(подпункт 3) пункта 1 статьи 157 Экологического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Казахстан)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Характеристика образования объекта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5"/>
        <w:gridCol w:w="6375"/>
      </w:tblGrid>
      <w:tr>
        <w:trPr>
          <w:trHeight w:val="30" w:hRule="atLeast"/>
        </w:trPr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продукта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цикла</w:t>
            </w:r>
          </w:p>
        </w:tc>
      </w:tr>
      <w:tr>
        <w:trPr>
          <w:trHeight w:val="30" w:hRule="atLeast"/>
        </w:trPr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Физико-химическая характеристика объекта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3"/>
        <w:gridCol w:w="2881"/>
        <w:gridCol w:w="2258"/>
        <w:gridCol w:w="2764"/>
        <w:gridCol w:w="2394"/>
      </w:tblGrid>
      <w:tr>
        <w:trPr>
          <w:trHeight w:val="3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(полный)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растворимость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веществами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пожаровзрыво-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опасность</w:t>
            </w:r>
          </w:p>
        </w:tc>
      </w:tr>
      <w:tr>
        <w:trPr>
          <w:trHeight w:val="3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Характеристика радиоактивного объекта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2"/>
        <w:gridCol w:w="2145"/>
        <w:gridCol w:w="2203"/>
        <w:gridCol w:w="2282"/>
        <w:gridCol w:w="1559"/>
        <w:gridCol w:w="1149"/>
        <w:gridCol w:w="1110"/>
      </w:tblGrid>
      <w:tr>
        <w:trPr>
          <w:trHeight w:val="30" w:hRule="atLeast"/>
        </w:trPr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эквивалентная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доза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частиц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удельная активность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радионуклидов Бк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воздухе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воде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почве</w:t>
            </w:r>
          </w:p>
        </w:tc>
      </w:tr>
    </w:tbl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Характеристика системы транспортировки;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4. Дополнительные сведения</w:t>
      </w:r>
    </w:p>
    <w:bookmarkEnd w:id="26"/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Наличие государственных заключений, актов по объекту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захоронений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0"/>
        <w:gridCol w:w="4114"/>
        <w:gridCol w:w="4386"/>
      </w:tblGrid>
      <w:tr>
        <w:trPr>
          <w:trHeight w:val="30" w:hRule="atLeast"/>
        </w:trPr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и когда выданы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документа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</w:p>
        </w:tc>
      </w:tr>
      <w:tr>
        <w:trPr>
          <w:trHeight w:val="30" w:hRule="atLeast"/>
        </w:trPr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Источники данных об объекте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3"/>
        <w:gridCol w:w="1383"/>
        <w:gridCol w:w="2672"/>
        <w:gridCol w:w="2164"/>
        <w:gridCol w:w="2203"/>
        <w:gridCol w:w="3275"/>
      </w:tblGrid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 протоколов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хранения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