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fb87" w14:textId="361f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4 декабря 2009 года № 2016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1019.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 "Об утверждении Правил направления граждан Республики Казахстан на лечение за рубеж за счет бюджетных средств" (САПП Республики Казахстан, 2009 г., № 57, ст. 491)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Направление на лечение в зарубежные медицинские организации граждан осуществляется при следующих заболеваниях, требующих высокотехнологичных методов лечения, не применяемых в Республике Казахстан: артериовенозные мальформации спинного мозга для эндоваскулярного лечения; артериовенозные мальформации и опухоли в хирургически недоступных и функционально значимых областях головного мозга, требующие радиохирургического метода лечения (гамма-нож); синдром Эйзенменгера, вследствие врожденных пороков сердца и приобретенных пороков сердца; терминальная сердечная недостаточность, требующая трансплантации сердца; терминальная стадия хронической почечной недостаточности, требующая трансплантации почки; болезни печени, требующие трансплантации печени; болезни кроветворной системы, требующие трансплантации костного мозга; стенозы гортани; стенозы трахеи.";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"Комиссия рассматривает приоритетность направления больного на лечение за рубеж в случаях, если больной является ребенком до 18 лет, беременной женщиной, а также при наличии родственного донора при трансплантации органов.".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