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4c9c" w14:textId="1b14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пищевой продукции, предназначенной для детей и подростков"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2010 года № 935.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прилагаемый технический регламент "Требования к безопасности пищевой продукции, предназначенной для детей и подростков".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шести месяцев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2010 года № 935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"Требования к безопасности пищевой продукции,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детей и подростков"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Настоящий технический регламент "Требования к безопасности пищевой продукции, предназначенной для детей и подростков" (далее - Технический регламент) разработан в соответствии с законами Республики Казахстан от 9 ноября 2004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 и от 21 июля 2007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безопасности пищевой продукции</w:t>
      </w:r>
      <w:r>
        <w:rPr>
          <w:rFonts w:ascii="Times New Roman"/>
          <w:b w:val="false"/>
          <w:i w:val="false"/>
          <w:color w:val="000000"/>
          <w:sz w:val="28"/>
        </w:rPr>
        <w:t>" (далее - Закон).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Настоящий Технический регламент устанавливает требования к безопасности пищевой продукции, предназначенной для детей и подростков, процессам их производства и оборота и распространяется на пищевую продукцию входящую в товарную позицию 0402, 0406, 1103, 1602, 1604, 1704, 1806, 1901, 2005, 2007, 2008, 2009, 2104, 2201 Единой товарной номенклатуры внешнеэкономической деятельности таможенного союза (ЕТН ВЭД ТС).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Требования настоящего Технического регламента не распространяются на: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продукты детского питания, предназначенные для детей раннего возраста;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диетическое и лечебно-профилактическое питание.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 опасным факторам (рискам), возникающим в процессе жизненного цикла пищевой продукции, предназначенной для детей и подростков, которые необходимо минимизировать с целью обеспечения безопасности для здоровья детей и подростков относятся: превышение содержания токсичных элементов, микотоксинов, пестицидов, антибиотиков, радионуклидов, пищевых добавок, витаминов, микроэлементов и других, ненормируемых контаминантов, механическое и микробиологическое загрязнение продукции, установленных требованиями технических регламентов или санитарных правил для отдельного вида пищевой продукции.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Вероятные риски возникают при следующих стадиях (процессах) жизненного цикла пищевой продукции, предназначенной для детей и подростков: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разработка (создание) пищевой продукции, предназначенной для детей и подростков;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подготовка складских, производственных помещений, машин, оборудования, транспортных средств, вспомогательных материалов;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приемка и подготовка основного и вспомогательного сырья, в том числе пищевых добавок и ингредиентов к производству;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производство (изготовление) пищевой продукции, предназначенной для детей и подростков;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хранение, транспортировка, реализация.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При оценке риска пищевой продукции, предназначенной для детей и подростков используются современные методы обработки, методы инспектирования, выборочного контроля, лабораторных исследований.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Оценка безопасности пищевой продукции, предназначенной для детей и подростков, определяется: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безопасностью сырья и материалов, применяемых при производстве;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путем выявления характеристик продукции по химическим и биологическим ксенобиотикам (токсичные элементы, пестициды, микотоксины, антибиотики, радионуклиды, пищевые добавки), превышение содержания которых оказывает вредное воздействие на организм;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путем анализа воздействия каждого из выявленного риска на организм детей и подростков и его последствий;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определением мер по ограничению выявленных рисков.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Для идентификации может быть использован один из следующих методов или их сочетание: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документации;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инструментальный;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органолептический;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визуальный;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испытания продукции.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В случае, если содержащаяся в сопроводительных документах и на этикетках информация о пищевой продукции, предназначенной для детей и подростков не соответствует наименованиям и (или) показателям идентификации, установленным настоящим Техническим регламентом, или является недостоверной, пищевая продукция, предназначенная для детей и подростков признается фальсифицированной и подлежит принудительному отзыву.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В настоящем Техническом регламенте используются понятия,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безопасности пищевой продукции, а также следующие термины и определения: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биологическая ценность пищевой продукции - характеристика пищевой продукции, включающая в себя калорийность, содержание белков, жиров, углеводов, витаминов, макро- и микроэлементов;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пищевая продукция - пищевая продукция, предназначенная для питания детей в возрасте от 3 до 18 лет и отвечающая соответствующим физиологическим потребностям детского организма, обеспечивающая эффективную их усвояемость и не причиняющая вред здоровью ребенка;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пищевая ценность - степень удовлетворения детского организма в питательных веществах, определяемая их энергетической ценностью, составом и вкусовыми достоинствами.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обращения на рынке Республики Казахстан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Пищевая продукция, предназначенная для детей и подростков, находящаяся в обращении на территории Республики Казахстан, в том числе ввозимая (импортируемая), при использовании по назначению в течение срока годности не должна причинять вреда жизни и здоровью человека, окружающей среде и должна сопровождаться документами, подтверждающими их безопасность (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сертификат соответствия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декларация о соответствии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Пищевая продукция, предназначенная для детей и подростков, не отвечающая требованиям настоящего Технического регламента к реализации не допускается и утилизируется или уничтожается в соответствии с требованиями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марта 2008 года № 285 "Об утверждении Правил утилизации и уничтожения пищевой продукции, представляющей опасность жизни и здоровью человека и животных, окружающей среде".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безопасности продукции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Пищевые продукты, предназначенные для детей и подростков должны удовлетворять физиологические потребности детей и подростков в необходимых веществах и энергии, отвечать обычно предъявляемым к пищевым продуктам требованиям в части органолептических и физико-химических показателей и соответствовать требованиям технических регламентов или санитарных правил установленных для отдельного вида пищевой продукции к допустимому содержанию химических, биологически активных веществ и их соединений, микроорганизмов и других биологических организмов, представляющих опасность для здоровья нынешних и будущих поколений.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Продукты, предназначенные для детей и подростков в зависимости от возраста подразделяются для детей: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дошкольного возраста - в возрасте от 3 до 6 лет;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школьного возраста - от 6 до 18 лет.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Гигиенические показатели безопасности пищевой продукции, предназначенной для детей и подростков (органолептические, санитарно-гигиенические, санитарно-химические, биохимические, микробиологические, токсикологические, паразитологические, радиологические, энергетическая и пищевая ценность) должны соответствовать требованиям технических регламентов или санитарных правил установленных для отдельного вида пищевой продукции.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Для производства пищевой продукции, предназначенной для детей и подростков не допускается использование: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искусственных и идентичных натуральным ароматизаторов, красителей, стабилизаторов;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искусственных подслащивающих веществ (сахарозаменителей), кроме пищевой продукции специального назначения для детей страдающих сахарным диабетом;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пищевых добавок и ингредиентов, полученных из генно-модифицированных растений и животных;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генетически модифицированных объектов в качестве продуктов детского питания и (или) сырья (ингредиентов) для их производства;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мясо убойных животных и птицы, подвергнутое повторному замораживанию;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мяса птицы, кроме охлажденного, мяса птицы механической обвалки и коллагенсодержащего сырья из мяса птицы для производства продуктов детского питания (для всех возрастных групп, в том числе для организованных детских коллективов);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блоки замороженные из жилованного мяса говядины, свинины, а также субпродукты со сроками годности более 6 месяцев;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говядина третьей и четвертой категории;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говядина первой и второй категории с массовой долей жировой ткани свыше 20 %;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говядина жилованная колбасная с массовой долей соединительной и жировой ткани свыше 12 %;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говяжье котлетное мясо с массовой долей соединительной и жировой ткани свыше 12 %;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свинина с массовой долей жировой ткани свыше 60 %;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свинина жилованная первой и второй категории с массовой долей жировой ткани свыше 50 %;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свинина жилованная колбасная с массовой долей соединительной и жировой ткани свыше 60 %;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баранина с массовой долей жировой ткани свыше 9 %;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субпродукты, за исключением печени, сердца, языка.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Пищевая продукция, предназначенная для детей и подростков не должна содержать: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микотоксины, в том числе диоксины;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бенз(а)пирен;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соли пищевой поваренной свыше 0,8 %;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нитрит натрия;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жгучих специй;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алкоголя, кофе натурального, ядер абрикосовой косточки, кулинарных и кондитерских жиров, пиросульфата натрия - в кондитерских изделиях.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В пищевую продукцию, предназначенную для детей и подростков, не допускается внесение бензойной кислоты, сорбиновой кислоты, сорбата калия или натрия.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Пищевые продукты не должны иметь посторонних запахов, привкусов, включений, изменений цвета, запаха и консистенции, свидетельствующих о порче продукта. Органолептические свойства пищевых продуктов не должны изменяться при хранении, транспортировке (перевозке) и в процессе реализации.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Нормы потребление жиров, белков и углеводов для детей и подростков разного пола и возраста установлены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Перечень витаминов и микроэлементов, применяемых при производстве пищевой продукции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Для производства пищевой продукции предназначенной для детей и подростков используются виды лекарственного растительного сырья,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 Применение пищевой продукции изготовленной из лекарственного растительного сырья при наличии у детей и подростков противопоказаний и аллергии, проводится только после консультации врача.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Оборудование, аппаратура и емкости, контактирующие с сырьем и готовой продукцией, изготавливаются из материалов, разрешенных для контакта с данным видом продукции и должны отвечать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машин и оборудования".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Периодичность и методы контроля эффективности технологических процессов для обеспечения безопасности конкретных видов пищевой продукции для детей и подростков устанавливаются производителем продукции в программе производственного контроля.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Нормативы физиологической полноценности по макро- и микроэлементному составу питьевой воды, расфасованной в емкости, указаны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 и должны отвечать требованиям Технического регламента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2008 года № 551 "О безопасности питьевой воды, расфасованной в емкости".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Физиологическая полноценность питьевой воды, расфасованной в емкости, предназначенной для детей и подростков, в частности, воздействие воды на организм человека, его диуретические и пищеварительные функции, восполнение дефицита биологически активных элементов, должна устанавливаться путем проведения медицинской экспертизы в области здравоохранения и подтверждаться медицинским заключением, выданным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Объемно-планировочные и конструкторские решения помещений предусматриваются с учетом поточности производственных процессов, исключающие общие, встречные и перекрестные потоки сырья, сырых полуфабрикатов и готовой продукции, загрязненной и чистой тары, отдельные входы для персонала и поступления сырья.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К технологическому оборудованию и инвентарю, используемому при производстве пищевой продукции для детей и подростков, предъявляются следующие требования: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материалы, из которых изготовлено оборудование и инвентарь, контактирующие с пищевой продукцией не должны быть источниками загрязнения (контаминации);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оборудование и инвентарь должны содержаться в исправном состоянии;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оборудование, аппаратура и трубопроводы монтируются таким образом, чтобы было достигнуто полное их освобождение от продукции, моющих и дезинфицирующих растворов;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резервуары для изготовления и хранения сырья, компонентов и готовой продукции для детей и подростков снабжаются плотно закрывающимися крышками;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 допускается использование стеклянных термометров без защитной оправы. Применяемые средства измерений должны быть исправны и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обеспечения единства измерений.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Изготовитель продукции производит пищевую продукцию для детей и подростков таким образом, чтобы она соответствовала предназначению, требованиям к безопасности, и обеспечивала достижение целей, определенных настоящим Техническим регламентом.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Для обеспечения надлежащей безопасности и качества пищевой продукции для детей и подростков, изготовитель следует принципам и правилам добросовестной производственной практики: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разработке технологий и рецептур изготовления пищевой продукции для детей и подростков осуществляется анализ рисков, определяются критические стадии (риски) производственных процессов и контрольные точки для выявления изменений технологии, которые могут негативным образом влиять на безопасность и качество продукции;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контроль безопасности и качества на предприятии осуществляется средствами и мероприятиями, обеспечивающими необходимую достоверность и полноту контроля;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 технологические операции по производству и контролю тщательно документируются в программах производственного контроля, которые утверждаются изготовителем продукции и не требуют обязательной экспертизы и согласования иными организациями, производственные процессы регламентируются и периодически пересматриваются с учетом накопленного опыта;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проводится необходимый входной контроль сырья, технологических средств и вспомогательных материалов, а также продуктов на промежуточных стадиях технологического процесса и готовой продукции;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контроля документируются в форме протоколов, журналов, актов, составляемых рукописным способом и (или) с использованием технических средств, которые документально подтверждают, что действительно проведены все предусмотренные технической документацией операции, а также, что количество, безопасность и качество изготовленной продукции соответствуют установленным требованиям;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отклонения от норм, установленных в технической документации, документируются и расследуются в полном объеме. По результатам расследования разрабатываются и осуществляются корректирующие мероприятия;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обеспечивается прослеживаемость партий продукции;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рамках должностных инструкций определяются ответственность и полномочия персонала, участвующего в производстве и его управлении;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персонал обучен и аттестован;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осуществляются комплексные мероприятия, обеспечивающие безопасность и качество продукции в течение всего срока годности при ее распространении и обращении согласно условиям изготовителя;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используется система самоинспекции и (или) аудита;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проводится надлежащая утилизация продукции, тары, промышленной упаковки;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определяется процедура, обеспечивающая прием и расследование рекламаций, предписаний и уведомлений уполномоченных органов в области безопасности пищевой продукции, отзыв или ограничение обращения партии некачественной или небезопасной продукции.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Поступающие на предприятие сырье, вспомогательные и тароупаковочные материалы должны иметь санитарно-эпидемиологическое заключение, ветеринарное свидетельство, 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сертификаты соответствия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декларации о соответствии, подтверждающие их безопасность.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В целях соответствия пищевой продукции, предназначенной для детей и подростков, требованиям настоящего Технического регламента, участники хозяйственной деятельности в сфере производства данной продукции организовывают, применяют и поддерживают систему производственного контроля, основанную на следующих принципах: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определение любых опасностей в процессе производства, которые могут привести к выпуску в обращение пищевой продукции, предназначенной для детей и подростков, не соответствующей требованиям настоящего Технического регламента;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определение критических контрольных точек в процессе производства, на которых необходим контроль, чтобы предотвратить или устранить опасность, определенную в соответствии с настоящим Техническим регламентом (включая систему НАССР):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установление предельных значений показателей, определяемых и контролируемых в критических контрольных точках;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ведение мониторинга показателей, контролируемых в критических контрольных точках;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установление порядка действий в случае отклонения установленных показателей безопасности;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ведение документации, фиксирующей применение соответствующих мер безопасности.</w:t>
      </w:r>
    </w:p>
    <w:bookmarkEnd w:id="105"/>
    <w:bookmarkStart w:name="z10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хранению и транспортировке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При транспортировке и хранении пищевых продуктов должны соблюдаться меры, препятствующие любому виду загрязнения пищевых продуктов и предупреждающие их порчу. Условия хранения пищевой продукции для детей и подростков должна обеспечивать их безопасность.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Пищевая продукция для детей и подростков, находящаяся на хранении, сопровождается документами, обеспечивающими прослеживаемость, а также информацией об условиях хранения, дате изготовления и сроке годности.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Внутренняя отделка грузовых отделений транспортных средств, а также контейнеры для перевозки пищевой продукции для детей и подростков выполняются из моющихся и нетоксичных материалов.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Перевозка пищевой продукции для детей и подростков вместе с непродовольственной продукцией не допускается. Перевозка в одном грузовом отделении транспортных средств пищевой продукции для детей и подростков и других видов пищевой продукции допускается, при условии соблюдения принципа "товарного соседства".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Помещения для хранения пищевой продукции для детей и подростков, в том числе холодильные камеры, грузовые отделения транспортных средств и контейнеры для перевозки подвергаются регулярной санитарной обработке, мойке и дезинфекции, дезинсекции и дератизации с периодичностью, необходимой для того, чтобы помещения и транспортные средства не могли являться источником загрязнения пищевой продукции.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Для санитарной обработки, дезинфекции, дезинсекции и дератизации производственных помещений, санитарной обработки и дезинфекции технологического оборудования и инвентаря, разрешается использовать зарегистрированные в установленном порядке в Республике Казахстан моющие и чистящие средства, химические средства дезинфекции, при условии отсутствия их остаточных количеств в пищевой продукции, предназначенной для детей и подростков.</w:t>
      </w:r>
    </w:p>
    <w:bookmarkEnd w:id="112"/>
    <w:bookmarkStart w:name="z11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Требования к упаковке и маркировке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38. Упаковка и маркировка пищевой продукции, предназначенной для детей и подростков должны отвечать требованиям Закона и Техническому регламенту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марта 2008 года № 277 "Требования к упаковке, маркировке, этикетированию и правильному их нанесению", а также требованиям предъявляемых к отдельным видам продукции.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Упаковка продукции, предназначенной для детей и подростков должна обеспечивать адекватную защиту в течение всего срока годности продукции во избежание повреждений, для минимизации контаминации (загрязнения) и размещение маркировки.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Упаковочные материалы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изготавливаются из материалов, разрешенных к применению в Республике Казахстан.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41. Пищевая продукция, предназначенная для детей и подростков, при нарушении целостности потребительской упаковки немедленно изымается из оборота собственником этой продукции. Дальнейшее ее использование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безопасности пищевой продукции.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Пищевая продукция, предназначенные для детей и подростков должны выпускаться в герметичной упаковке, не превышающей следующие объемы: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жидкие молочные и кисломолочные продукты - 1 литр;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пастообразные молочные продукты - 0,2 кг;</w:t>
      </w:r>
    </w:p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консервированные мясные и мясо - растительные продукты - 0,35 кг;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соки и нектары фруктовые, овощные и плодоовощные - 2 литра.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На потребительской таре пищевой продукции, предназначенной для детей и подростков, размещается следующая маркировка: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и местонахождение изготовителя (юридический адрес, включая страну, а при несовпадении с юридическим адресом, адрес предприятия) и организации в Республике Казахстан, уполномоченной изготовителем на принятие претензий от потребителей на ее территории (при наличии);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продукта;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состав продукции (в порядке уменьшения массовых долей ингредиентов с обязательным указанием пищевых добавок, витаминов, микронутриентов, ароматизаторов);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масса нетто или объем;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пищевую ценность, включая содержание витаминов, минеральных веществ и энергетическую ценность;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условия хранения до и после вскрытия потребительской упаковки;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годности до и после вскрытия потребительской упаковки;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способ приготовления (при необходимости);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рекомендации по использованию;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нормативный документ, в соответствии с которым изготовлен и может быть идентифицирован продукт.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На транспортную упаковку пищевой продукции, предназначенной для детей и подростков, наносятся знаки и надписи, необходимые для обеспечения безопасности продукции в процессе ее перевозки.</w:t>
      </w:r>
    </w:p>
    <w:bookmarkEnd w:id="133"/>
    <w:bookmarkStart w:name="z13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Подтверждение соответствия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45. Подтверждение соответствия пищевой продукции, предназначенной для детей и подростков, проводится в форме обязательного подтверждения соответствия требованиям настоящего Технического регламента, нормативным документам на конкретный вид продукции и удостоверяется сертификатом соответствия в порядке, установленном техническим регламентом 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2008 года № 90 "Процедуры подтверждения соответствия".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Схемы подтверждения соответствия пищевой продукции, предназначенной для детей и подростков, выбираются заявителем совместно с органом по подтверждению соответствия с учетом объемов продукции, сроков ее годности.</w:t>
      </w:r>
    </w:p>
    <w:bookmarkEnd w:id="136"/>
    <w:bookmarkStart w:name="z14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Сроки и условия введения в действие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Настоящий Технический регламент вводится в действие по истечению шести месяцев со дня первого официального опубликования.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14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белков, жиров</w:t>
      </w:r>
      <w:r>
        <w:br/>
      </w:r>
      <w:r>
        <w:rPr>
          <w:rFonts w:ascii="Times New Roman"/>
          <w:b/>
          <w:i w:val="false"/>
          <w:color w:val="000000"/>
        </w:rPr>
        <w:t>и углеводов (грамм/день) в зависимости от потребности детей и</w:t>
      </w:r>
      <w:r>
        <w:br/>
      </w:r>
      <w:r>
        <w:rPr>
          <w:rFonts w:ascii="Times New Roman"/>
          <w:b/>
          <w:i w:val="false"/>
          <w:color w:val="000000"/>
        </w:rPr>
        <w:t>подростков разного пола и возраста в энергии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8"/>
        <w:gridCol w:w="1780"/>
        <w:gridCol w:w="1780"/>
        <w:gridCol w:w="1780"/>
        <w:gridCol w:w="1310"/>
        <w:gridCol w:w="1311"/>
        <w:gridCol w:w="1781"/>
      </w:tblGrid>
      <w:tr>
        <w:trPr>
          <w:trHeight w:val="30" w:hRule="atLeast"/>
        </w:trPr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потребления белков, жиров и углеводов грамм/день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потребности в 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 и юноши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 и девушки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17-18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14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Витамины и минеральные соли, используемые при производстве</w:t>
      </w:r>
      <w:r>
        <w:br/>
      </w:r>
      <w:r>
        <w:rPr>
          <w:rFonts w:ascii="Times New Roman"/>
          <w:b/>
          <w:i w:val="false"/>
          <w:color w:val="000000"/>
        </w:rPr>
        <w:t>пищевой продукции, предназначенной для детей и подростков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4"/>
        <w:gridCol w:w="10446"/>
      </w:tblGrid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Витамины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А</w:t>
            </w:r>
          </w:p>
        </w:tc>
        <w:tc>
          <w:tcPr>
            <w:tcW w:w="10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Ретинолацетат; ретинолпальмитат; бета-каротин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Д</w:t>
            </w:r>
          </w:p>
        </w:tc>
        <w:tc>
          <w:tcPr>
            <w:tcW w:w="10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Д2 эргокальциферол; Д3 холекальциферол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Е</w:t>
            </w:r>
          </w:p>
        </w:tc>
        <w:tc>
          <w:tcPr>
            <w:tcW w:w="10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Д-токоферол; ДL-альфа-токоферол; Д-альфа-токоферол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В1</w:t>
            </w:r>
          </w:p>
        </w:tc>
        <w:tc>
          <w:tcPr>
            <w:tcW w:w="10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гидрохлорид; тиамина бромид;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мононитрат; тиамина хлорид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В2</w:t>
            </w:r>
          </w:p>
        </w:tc>
        <w:tc>
          <w:tcPr>
            <w:tcW w:w="10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Рибофлавин; рибофлавин-5-фосфат, натрий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(ниацин)</w:t>
            </w:r>
          </w:p>
        </w:tc>
        <w:tc>
          <w:tcPr>
            <w:tcW w:w="10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Никотинамил; никотиновая кислота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В6</w:t>
            </w:r>
          </w:p>
        </w:tc>
        <w:tc>
          <w:tcPr>
            <w:tcW w:w="10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гидрохлорид; пиридоксин-5-фосфат;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дипальмитат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Пантотеновая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</w:t>
            </w:r>
          </w:p>
        </w:tc>
        <w:tc>
          <w:tcPr>
            <w:tcW w:w="10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D-пантотенат кальция; D-пантотенат натрия;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дексантенол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В12</w:t>
            </w:r>
          </w:p>
        </w:tc>
        <w:tc>
          <w:tcPr>
            <w:tcW w:w="10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Цианкобаламин; гидроксокобаламин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Фолевая кислота</w:t>
            </w:r>
          </w:p>
        </w:tc>
        <w:tc>
          <w:tcPr>
            <w:tcW w:w="10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Фолевая кислота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</w:t>
            </w:r>
          </w:p>
        </w:tc>
        <w:tc>
          <w:tcPr>
            <w:tcW w:w="10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L-аскорбиновая кислота; Lаскорбат натрия;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L-аскорбат кальция; 6-пальмитил- L-аскорбиновая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(аскорбилпальмитат); аскорбат калия;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К</w:t>
            </w:r>
          </w:p>
        </w:tc>
        <w:tc>
          <w:tcPr>
            <w:tcW w:w="10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Филлохинон (фитоменадион)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Биотин</w:t>
            </w:r>
          </w:p>
        </w:tc>
        <w:tc>
          <w:tcPr>
            <w:tcW w:w="10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Д-биотин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</w:t>
            </w:r>
          </w:p>
        </w:tc>
        <w:tc>
          <w:tcPr>
            <w:tcW w:w="10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хлорид, холина цитрат, холина битартрат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Инозит</w:t>
            </w:r>
          </w:p>
        </w:tc>
        <w:tc>
          <w:tcPr>
            <w:tcW w:w="10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Инозит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Карнитин</w:t>
            </w:r>
          </w:p>
        </w:tc>
        <w:tc>
          <w:tcPr>
            <w:tcW w:w="10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L-карнитин, L-карнитин хлоргидрат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Минеральные соли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10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углекислый (Е 170); кальций лимоннокислый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трехзамещенный (Е 333); глюконат кальция (Е 578);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глицерофосфат кальция (Е 383); лактат кальция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 327); кальциевая соль ортофосфорной кислоты (Е 341)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10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Цитрат натрия; хлорид натрия (Е 331)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10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 магния (Е 504); магний лимоннокислый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двузамещенный (Е 345); хлорид магния (Е 511);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магния (Е 580); магниевые соли ортофосфорной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 (Е 343); сульфат магния (Е 518);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лактат магния (Е 329)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</w:t>
            </w:r>
          </w:p>
        </w:tc>
        <w:tc>
          <w:tcPr>
            <w:tcW w:w="10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Цитрат калия (Е 332); лактат калия (Е326);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фосфорнокислый двузамещенный по ГОСТ 2493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</w:t>
            </w:r>
          </w:p>
        </w:tc>
        <w:tc>
          <w:tcPr>
            <w:tcW w:w="10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железа (II) (Е 579); железо (II) сернокислое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7-водное по ГОСТ 4148; лактат железа (II) (Е 585);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фумарат железа (II); дифосфат (пирофосфат)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(II); элементарное железо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10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 меди; цитрат меди; глюконат меди;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меди (Е 519)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10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Ацетат цинка; сульфат цинка; хлорид цинка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</w:t>
            </w:r>
          </w:p>
        </w:tc>
        <w:tc>
          <w:tcPr>
            <w:tcW w:w="10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Карбонат марганца; хлорид марганца; цитрат марганца;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марганца; сульфат марганца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10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Йодид калия; йодат калия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14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лекарственного растительного сырья, используемого</w:t>
      </w:r>
      <w:r>
        <w:br/>
      </w:r>
      <w:r>
        <w:rPr>
          <w:rFonts w:ascii="Times New Roman"/>
          <w:b/>
          <w:i w:val="false"/>
          <w:color w:val="000000"/>
        </w:rPr>
        <w:t>при производстве пищевой продукции, предназначенной детей и подростков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"/>
        <w:gridCol w:w="7461"/>
        <w:gridCol w:w="4480"/>
      </w:tblGrid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Латинское 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растения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сырья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Anisum vulgare Gftrth сем. Umbelliferae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аниса (Anisi fructus)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Althaea oficinalis ceм. Malvacae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 алтея (Althaeae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radix)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бородавчатая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Betula verrucosa Ehrh. ceм. Betulaceae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березы (Betulae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folium)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повислая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Betula pendula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березы (Betulae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folium)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Гибискус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Hibiscus sadariffa L. сем. Malvaceae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 гибискуса (Hibisci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flos)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мальва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Hibiscus sadariffa L. сем. Malvaceae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 гибискуса (Hibisci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flos)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Origanuv vulgare сем. Lamiaceae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душицы (Origani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herba)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Земляника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Fragaria ceм. Rosaceae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земляники (Fragariae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folium)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аптечные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Calendula officinalis L. сем. Composite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 календулы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(Calendulae flos)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двудомная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Urtica diocia L. сем. Urtica L. сем.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Urticaceae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крапивы (Urticae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folium)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узколистная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Lavandula angustifolia Mill. ceм.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Lamiactat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 лаванды (Lavandulae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flos)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сердцевидная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Tilia cordata Mill сем. Tiliaceae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 липы (Tiliae flous)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ideaus L. сем. Rosaceae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малины (Rubi idaei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folium)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Просвирник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Malva sylvestris L (syn.Malva Mauriuana)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сем. Malvaceae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 мальвы (Malvae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flous)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Мальва лесная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Malva sylvestris L (syn.Malva Mauritiana)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сем. Malvaceae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 мальвы (Malvae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flous)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Мелисса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Melissa officinalis сем. Lamiaceae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мелиссы (Melissa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folium)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Мята лимонная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Melissa officinalis сем. Lamiaceae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мяты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Мята перечная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Melissa piperita сем. Lamiaceae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мяты перечной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(Menthae piperitae folium)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Облепиха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Hippophae rhamnides L. ceм. Elaeagnaceae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облепихи (Hyppophaes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folium)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Plantago major L. сем. Plantaginaeae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подорожника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(Plantaginis herba)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Plantago madia L. сем. Plantaginaeae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подорожника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(Plantaginis herba)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ланцетовидный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Plantago lanceolate L. сем. Plantaginaeae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подорожника (Plantaginis herba)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Померанец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Citrys aurantium сем. Rutaceae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Померанца корка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аптечная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Matricaria recutita L. сем.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(sen. Chamomilla L.)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Цветки ромашки (Chamomillae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flos)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Ribts nigrum L. сем. Saxifragaceae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 смородины (Ribi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nigri flos)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Тимьян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душистый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Thymus vulgaris L. (Thymus marschallianus)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ceм. Lamiaceae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тимьяна (Trymi herba)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Чабрец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Thymus serpyllum сем. Lamiaceae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чабреца (Trymi herba)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Тимьян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ползучий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Thymus serpyllum сем. Lamiaceae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тимьяна (Trymi herba)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Carum carvi, сем. Umbellifere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тмина (Cari carvi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fructus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Фенхель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обыкновенный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Foeniculum vulgare Mill сем. Umbelliferae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фенхеля (Foeniculi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fructus)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Укроп аптечный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Foeniculum vulgare Mill сем. Umbelliferae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укропа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трехраздельная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Bidens tripartiye L. сем. Composite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череды (Bidentis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herba)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Черника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Vaccinium myrtillus L. сем. Vacciniaceae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черники (Myrtilli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fructus)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Брусника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Vaccinium myrtillus L. сем. Vacciniaceae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брусники (Vaccini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fructus)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сем. Rosaceae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шиповника (Rosae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fructus)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14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</w:t>
      </w:r>
      <w:r>
        <w:br/>
      </w:r>
      <w:r>
        <w:rPr>
          <w:rFonts w:ascii="Times New Roman"/>
          <w:b/>
          <w:i w:val="false"/>
          <w:color w:val="000000"/>
        </w:rPr>
        <w:t>физиологической полноценности питьевой воды, расфасованной</w:t>
      </w:r>
      <w:r>
        <w:br/>
      </w:r>
      <w:r>
        <w:rPr>
          <w:rFonts w:ascii="Times New Roman"/>
          <w:b/>
          <w:i w:val="false"/>
          <w:color w:val="000000"/>
        </w:rPr>
        <w:t>в емкости, по макро- и микроэлементному составу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3776"/>
        <w:gridCol w:w="2812"/>
        <w:gridCol w:w="4498"/>
      </w:tblGrid>
      <w:tr>
        <w:trPr>
          <w:trHeight w:val="30" w:hRule="atLeast"/>
        </w:trPr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элементы)</w:t>
            </w:r>
          </w:p>
        </w:tc>
        <w:tc>
          <w:tcPr>
            <w:tcW w:w="3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полноценности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воды, от - 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качества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 до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100 - 1000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200 - 500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мг-экв/л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1,5 - 7,0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1,5 - 7,0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Гидрокарбонаты,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30 - 400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30 - 400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Кальций*, мг/л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25 - 130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25 - 80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Магний*, мг/л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5 - 65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5 - 50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Калий, мг/л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2 - 20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Фтор, мг/л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0,5 - 1,5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0,6 - 1,2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Йод, мг/л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0,01 - 0,125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 **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0,04 - 0,06***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Кислород, мг/л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Примечания.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Расчетно, исходя из максимально допустимой жесткости 7мг-экв/л и учета минимально необходимого уровня содержания магния при расчете максимально допустимого содержания кальция и наоборот.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 Йодирование воды на уровне ПДК допускается при отсутствии профилактики йододефицита за счет йодированной соли при условии соблюдения допустимой суточной дозы йодид-иона, поступающего в организм суммарно из всех объектов окружающей среды.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*** Йодирование воды на уровне 0,04-0,06 мг/л разрешается в качестве способа массовой профилактики йододефицита при использовании иных мер профилактики.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