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0c0fb" w14:textId="cc0c0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технического регламента "Ядерная и радиационная безопасность исследовательских ядерных установок"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июля 2010 года № 684. Утратило силу постановлением Правительства Республики Казахстан от 25 сентября 2017 года № 588.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25.09.2017 </w:t>
      </w:r>
      <w:r>
        <w:rPr>
          <w:rFonts w:ascii="Times New Roman"/>
          <w:b w:val="false"/>
          <w:i w:val="false"/>
          <w:color w:val="ff0000"/>
          <w:sz w:val="28"/>
        </w:rPr>
        <w:t>№ 588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соответствии с Законом РК от 29.09.2014 г. </w:t>
      </w:r>
      <w:r>
        <w:rPr>
          <w:rFonts w:ascii="Times New Roman"/>
          <w:b w:val="false"/>
          <w:i w:val="false"/>
          <w:color w:val="ff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ЗРК по вопросам разграничения полномочий между уровнями государственного управления см. </w:t>
      </w:r>
      <w:r>
        <w:rPr>
          <w:rFonts w:ascii="Times New Roman"/>
          <w:b w:val="false"/>
          <w:i w:val="false"/>
          <w:color w:val="ff0000"/>
          <w:sz w:val="28"/>
        </w:rPr>
        <w:t>приказ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энергетики Республики Казахстан от 20 февраля 2017 года № 59.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ноября 2004 года "О техническом регулировании"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технический регламент "Ядерная и радиационная безопасность исследовательских ядерных установок".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одного года со дня первого официального опубликования.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июля 2010 года № 684</w:t>
            </w:r>
          </w:p>
        </w:tc>
      </w:tr>
    </w:tbl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Технический регламент</w:t>
      </w:r>
      <w:r>
        <w:br/>
      </w:r>
      <w:r>
        <w:rPr>
          <w:rFonts w:ascii="Times New Roman"/>
          <w:b/>
          <w:i w:val="false"/>
          <w:color w:val="000000"/>
        </w:rPr>
        <w:t>"Ядерная и радиационная безопасность исследовательских</w:t>
      </w:r>
      <w:r>
        <w:br/>
      </w:r>
      <w:r>
        <w:rPr>
          <w:rFonts w:ascii="Times New Roman"/>
          <w:b/>
          <w:i w:val="false"/>
          <w:color w:val="000000"/>
        </w:rPr>
        <w:t>ядерных установок"</w:t>
      </w:r>
      <w:r>
        <w:br/>
      </w:r>
      <w:r>
        <w:rPr>
          <w:rFonts w:ascii="Times New Roman"/>
          <w:b/>
          <w:i w:val="false"/>
          <w:color w:val="000000"/>
        </w:rPr>
        <w:t>1. Область применения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технический регламент "Ядерная и радиационная безопасность исследовательских ядерных установок" (далее - Технический регламент) устанавливает требования к обеспечению ядерной и радиационной безопасности исследовательских ядерных установок с исследовательскими ядерными реакторами (далее - ИР), критическими сборками (далее - КС) и подкритическими сборками (далее - ПКС) на всех этапах их жизненного цикла.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Радиационно-опасными факторами для персонала, населения и окружающей среды в условиях нормальной эксплуатации исследовательской ядерной установки (далее - ИЯУ), при авариях и при ликвидации последствий аварий являются внешние гамма, бета, нейтронное излучения, ингаляционное поступление в организм радиоактивных газов и аэрозолей, загрязненные радиоактивными веществами поверхности помещений, производственного оборудования и инструментов, упаковок, спецодежды и дополнительных средств индивидуальной защиты, а также газообразные, жидкие и твердые радиоактивные отходы, образующиеся при эксплуатации ИЯУ.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Источниками внешнего облучения гамма, бета излучателями различных энергий является ядерное топливо и продукты его деления, наведенная активность теплоносителя, конструкций, деталей реактора, продуктов их коррозии, облученные в активной зоне материалы и образцы, загрязненные радиоактивными веществами (далее - РВ) поверхности помещений, производственного оборудования и инструментов, упаковок, спецодежды и дополнительных средств индивидуальной защиты.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Источником нейтронного излучения является активная зона реактора. При этом реализуется весь спектр нейтронов - от быстрых до тепловых. Воздействие нейтронов возможно в помещении реакторного зала при работе реактора и вблизи экспериментальных каналов при выводе нейтронных пучков за защиту. На остановленном реакторе источником нейтронов могут являться пусковые источники, а также ампулы с трансурановыми изотопами в случае их разрушения при ревизии и ремонте технологического оборудования.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Источниками радиоактивных аэрозолей являются ядерное топливо, активированный теплоноситель, облучаемые материалы, размещаемые в технологических контурах.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Источниками радиоактивных газов являются: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аргон-41, образующийся при облучении аргона-40, находящегося в воздухе, заполняющем конструктивные полости систем реактора, или присутствующий как примесь в используемых для технологических целей газах, жидкостях и теплоносителях;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осколочные газообразные и легко летучие продукты деления такие, как ксенон, криптон, йод и так далее. Источником выделения их в атмосферу рабочей зоны служит активная зона реактора, контур теплоносителя и газовые системы при нарушении герметичности конструкций или при недостаточно эффективной работе системы технологической вентиляции;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продукты активации теплоносителя и замедлителя.</w:t>
      </w:r>
    </w:p>
    <w:bookmarkEnd w:id="11"/>
    <w:bookmarkStart w:name="z1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Термины и определения, обозначения и сокращения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настоящем Техническом регламенте применяются термины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в области технического регулирования и использования атомной энергии, а также следующие термины: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система управления и защиты - система, предназначенная для обеспечения безопасного поддержания и прекращения цепной реакции деления, совмещающая функции нормальной эксплуатации и функции системы безопасности (далее - СБ) и состоящая из элементов систем контроля и управления, защитных, управляющих и обеспечивающих систем безопасности;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рабочий орган системы управления и защиты (далее - СУЗ) - устройство, изменением положения или состояния которого в активной зоне или в отражателе ИЯУ обеспечивается изменение реактивности;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первый контур ИР - комплекс (совокупность) каналов (полостей) в активной зоне гетерогенного ИР, трубопроводов и теплообменников, содержащих теплоноситель для охлаждения активной зоны или корпус гомогенного ИР с раствором ядерных материалов (далее - ЯМ) и трубопроводы, по которым циркулирует раствор ЯМ;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пуск энергетический ИР - этап ввода ИР в эксплуатацию, включающий экспериментальное исследование влияния температуры и мощности на нейтронно-физические характеристики ИР, исследование радиационной обстановки при работе ИР на мощности и вывод ИР на номинальные параметры, установленные проектом;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подкритическая сборка (ПКС) - устройство для экспериментального изучения характеристик и параметров размножающей нейтроны среды, состав и геометрия которой обеспечивают затухание цепной реакции деления при отсутствии внешних источников нейтронов;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стенд подкритический - ИЯУ, в составе которой используется подкритическая сборка;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критическая сборка (КС) - устройство для экспериментального изучения характеристик и параметров размножающей нейтроны среды, состав и геометрия которой позволяют осуществить управляемую ядерную реакцию деления, эксплуатируемое на мощности, не требующей принудительного охлаждения среды;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стенд критический - ИЯУ, в составе которой используется критическая сборка;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источник нейтронов внешний - периодически устанавливаемое в активную зону (извлекаемое из активной зоны) при эксплуатации ИЯУ в режиме пуска и работы на мощности испускающее нейтроны устройство, предназначенное для улучшения контроля плотности потока нейтронов в активной зоне ИЯУ, находящейся в подкритическом состоянии;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система останова - система, предназначенная для быстрого прекращения ядерной цепной реакции деления и удержания ИЯУ в подкритическом состоянии с помощью средств воздействия на реактивность;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режим окончательного останова - режим эксплуатации ИЯУ, при котором производится подготовка к выводу из эксплуатации ИЯУ, включающий выгрузку ЯМ из активной зоны ИЯУ;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режим временного останова - режим эксплуатации ИЯУ, включающий или проведение на ИЯУ работ по техническому обслуживанию ИЯУ и подготовке экспериментальных исследований, или проведение работ по консервации отдельных систем и оборудования и поддержанию работоспособности ИЯУ в течение времени, когда проведение экспериментальных исследований на ИЯУ не планируется;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режим пуска и работа на мощности - режим эксплуатации ИЯУ, заключающийся в выводе ИЯУ на мощность с помощью рабочего органа (далее - РО) СУЗ и (или) внешнего источника нейтронов и в проведении экспериментальных исследований с использованием нейтронов и ионизирующего излучения ИЯУ;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экспериментальная петля (контур) - самостоятельный циркуляционный контур ИР, содержащий один или несколько каналов, предназначенный для экспериментальных исследований;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экспериментальное устройство - прибор, устройство, приспособление, предназначенные для проведения экспериментальных исследований;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исследовательская ядерная установка (ИЯУ) - ядерная установка, в составе которой используются ИР, КС или ПКС и комплекс помещений, систем, элементов и экспериментальных устройств, располагающаяся в пределах определенной проектом территории (площадки ИЯУ), предназначенная для использования в исследовательских целях;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исследовательский ядерный реактор (ИР) - устройство для экспериментальных исследований, состав и геометрия которого позволяют осуществлять управляемую ядерную реакцию деления, эксплуатируемое на мощности, требующее принудительного охлаждения, предназначенный, главным образом, для получения и использования нейтронов и ионизирующего излучения в исследовательских и других целях;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активная зона ИЯУ - часть ИР, КС или ПКС с размещенными в ней ядерным топливом (ядерными материалами) и другими элементами, необходимыми для поддержания цепной реакции деления. В составе активной зоны ИЯУ могут быть замедлитель, теплоноситель, средства воздействия на реактивность, экспериментальные устройства;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ядерно-опасные работы на ИЯУ - работы, которые могут привести к неконтролируемому изменению реактивности и связанные, например, с изменением геометрии и состава активной зоны, заменой экспериментальных устройств;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пуск физический ИЯУ - этап ввода ИЯУ в эксплуатацию, включающий загрузку ядерного топлива (далее - ЯТ) в активную зону и экспериментальное определение нейтронно-физических характеристик ИЯУ;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останов ИЯУ - приведение ИР и КС в подкритическое состояние и удаление внешнего источника нейтронов из ПКС.</w:t>
      </w:r>
    </w:p>
    <w:bookmarkEnd w:id="34"/>
    <w:bookmarkStart w:name="z39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Условия обращения на рынке Республики Казахстан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 обращению на рынке Республики Казахстан допускаются ИЯУ, удовлетворяющие требованиям ядерной и радиационной безопасности и критериям, установленным в данном Техническом регламенте, других технических регламентах в области использования атомной энергии и иных технических регламентах.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Безопасность ИЯУ должна обеспечиваться через последовательную реализацию системы организационных и технических мероприятий, которые включают: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эксплуатацию ИЯУ в соответствии с требованиями настоящего технического регламента, правил, стандартов и по утвержденным администрацией ИЯУ технологическим регламентам и инструкциям;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подбор и организацию работы с персоналом для действий в нормальных и аварийных условиях, формирование культуры безопасности на уровне организаций, руководителей и исполнителей;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поддержание важных для безопасности систем в исправном состоянии путем проведения необходимого технического обслуживания и замены выработавшего ресурс оборудования;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своевременное диагностирование дефектов и выявление отклонений от нормальной работы, и принятие мер по их устранению;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организацию эффективно действующей системы документирования результатов эксплуатации и контроля;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разработку и осуществление мероприятий по управлению авариями и смягчению последствий аварий, которые не удалось предотвратить;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разработку и осуществление мероприятий по защите локализующих систем безопасности от разрушения при запроектных авариях и поддержанию их работоспособности;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разработку и последовательное осуществление, при необходимости, планов аварийных мероприятий по защите персонала на площадке ИЯУ и населения за ее пределами;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разработку и последовательную реализацию программ обеспечения качества для всех видов работ по эксплуатации, техническому обслуживанию и ремонту ИЯУ.</w:t>
      </w:r>
    </w:p>
    <w:bookmarkEnd w:id="46"/>
    <w:bookmarkStart w:name="z51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Требования к проектированию ИЯУ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проекте ИЯУ должны быть определены и обоснованы: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нейтронно-физические, теплогидравлические и другие характеристики, важные для безопасности ИЯУ;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режимы эксплуатации, эксплуатационные пределы, условия и пределы безопасной эксплуатации ИЯУ;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допустимая скорость введения положительной реактивности рабочими органами СУЗ;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величина и скорость изменения реактивности с помощью пускового устройства или модулятора реактивности таким образом, чтобы мощность и общее энерговыделение в импульсе не приводили к повреждению тепловыделяющих элементов или ядерного реактора;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перечень ядерно-опасных работ и меры по обеспечению безопасности при их проведении;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условия и периодичность проверок нейтронно-физических характеристик ИЯУ на соответствие проекту;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показатели надежности систем нормальной эксплуатации, систем безопасности и их элементов;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перечень строительных конструкций, оборудования, средств автоматизации и других систем (элементов), которые должны быть сертифицированы в установленном порядке;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классификация помещений ИЯУ по взрывопожарной и пожарной безопасности;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перечень и основные параметры средств противопожарной защиты;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условия, объем и периодичность технического обслуживания и проверок систем, влияющие на безопасность (далее - СВБ);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условия срабатывания СБ и уровни внешних воздействий, превышение которых требует быстрого останова (сброса мощности) и (или) перевода ИЯУ в подкритическое состояние;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перечень исходных событий для проектных аварий и перечень запроектных аварий, оценка вероятностей возникновения аварий и путей их протекания;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вероятность предельно допустимого аварийного выброса для ИЯУ;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дозовая квота, учитывающая специфику района размещения ИЯУ;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срок эксплуатации ИЯУ, ресурс работы оборудования и критерии для принятия решения о его замене.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проекте должны быть установлены эксплуатационные пределы повреждения тепловыделяющих элементов или уровни радиоактивности теплоносителя первого контура ИР.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проекте должны быть определены требования к химическому составу теплоносителя, а также требования к средствам, обеспечивающим очистку теплоносителя от радиоактивных продуктов деления и коррозии.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Проектом ИР с раствором ЯМ должна быть предусмотрена возможность дезактивации первого контура в сборе.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Проектом ИР должны быть предусмотрены средства и методы, обеспечивающие: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контроль состояния основного металла и сварных соединений;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контроль герметичности первого контура;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контроль качества теплоносителя и очистки теплоносителя от продуктов деления и коррозии;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защиту от недопустимого повышения давления в первом контуре при предаварийных ситуациях и проектных авариях;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контроль и регистрацию параметров, необходимых для оценки остаточного ресурса элементов первого контура.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Проект ИЯУ должен содержать: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анализ реакций управляющей системы нормальной эксплуатации на возможные отказы в системе и внешние воздействия;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анализ надежности функционирования средств автоматизации и управляющей системы нормальной эксплуатации в целом;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анализ технических мер, исключающих несанкционированные ввод положительной реактивности и блокировку сигналов на срабатывание СБ.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проекте должен быть определен перечень событий и проектных аварий, требующих использования защитных систем безопасности (далее - ЗСБ), включая систему останова и систему аварийного отвода тепла, и должно быть показано соответствие ЗСБ предъявляемым к ним требованиям.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Проектом должна быть обеспечена работоспособность ЗСБ в экстремальных условиях (пожар, затопление помещений и другое).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проекте должна быть обоснована степень допустимой негерметичности помещений ЛСБ и указаны способы ее достижения.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проекте должны быть обоснованы условия и пределы безопасной эксплуатации ИЯУ.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проекте должны быть приведены и обоснованы эксплуатационные пределы для всех предусмотренных проектом активных зон ИЯУ, в том числе касающиеся мощности и запаса реактивности ИЯУ, параметров теплоносителя, включая его активность, а также пределы выброса (сброса) и содержания РВ в воздухе помещений.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проекте должно быть показано, что системы останова ИЯУ обеспечивают останов и удержание ИЯУ в безопасном состоянии.</w:t>
      </w:r>
    </w:p>
    <w:bookmarkEnd w:id="83"/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проекте должен быть приведен перечень сигналов предупредительной и аварийной сигнализации, информирующих персонал о достижении эксплуатационных пределов и пределов безопасной эксплуатации.</w:t>
      </w:r>
    </w:p>
    <w:bookmarkEnd w:id="84"/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 проекте должны быть приведены уставки срабатывания СБ и показано, что принятые уставки при срабатывании СБ с учетом инерционности и погрешности контрольно-измерительной аппаратуры предотвращают превышение пределов безопасной эксплуатации.</w:t>
      </w:r>
    </w:p>
    <w:bookmarkEnd w:id="85"/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 проекте должен быть определен объем радиационного контроля на ИЯУ, в санитарно-защитной зоне и зоне наблюдения при нормальной эксплуатации ИЯУ и нарушениях нормальной эксплуатации, включая аварии.</w:t>
      </w:r>
    </w:p>
    <w:bookmarkEnd w:id="86"/>
    <w:bookmarkStart w:name="z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 проекте должны предусматриваться технические средства, методы и способы, достаточные для:</w:t>
      </w:r>
    </w:p>
    <w:bookmarkEnd w:id="87"/>
    <w:bookmarkStart w:name="z9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выявления нарушений целостности физических барьеров;</w:t>
      </w:r>
    </w:p>
    <w:bookmarkEnd w:id="88"/>
    <w:bookmarkStart w:name="z9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контроля радиоактивных выбросов (сбросов) в окружающую среду (количества и радионуклидного состава);</w:t>
      </w:r>
    </w:p>
    <w:bookmarkEnd w:id="89"/>
    <w:bookmarkStart w:name="z9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обеспечения отбора проб парогазовой среды (газовой, воздушной) из помещений ИЯУ при нормальной эксплуатации и авариях;</w:t>
      </w:r>
    </w:p>
    <w:bookmarkEnd w:id="90"/>
    <w:bookmarkStart w:name="z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определения, оценки и прогнозирования радиационной обстановки в помещениях ИЯУ, санитарно-защитной зоне и зоне наблюдения;</w:t>
      </w:r>
    </w:p>
    <w:bookmarkEnd w:id="91"/>
    <w:bookmarkStart w:name="z9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определения, оценки и прогнозирования величин эквивалентных доз внешнего и внутреннего облучения работников (персонала) и всех лиц, находящихся в пределах санитарно-защитной зоны;</w:t>
      </w:r>
    </w:p>
    <w:bookmarkEnd w:id="92"/>
    <w:bookmarkStart w:name="z9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радиационного контроля работников (персонала), а также транспортных средств и материалов на границе площадки ИЯУ;</w:t>
      </w:r>
    </w:p>
    <w:bookmarkEnd w:id="93"/>
    <w:bookmarkStart w:name="z9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функционирования необходимой части системы радиационного контроля ИР в условиях, создаваемых запроектной аварией с наиболее тяжелой радиационной обстановкой на ИЯУ;</w:t>
      </w:r>
    </w:p>
    <w:bookmarkEnd w:id="94"/>
    <w:bookmarkStart w:name="z9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прогнозирования радиационной обстановки на местности по следу распространения радиоактивного выброса в атмосферу в процессе развития запроектной аварии ИР с целью принятия решений о защите населения с учетом регламентированных критериев для их принятия;</w:t>
      </w:r>
    </w:p>
    <w:bookmarkEnd w:id="95"/>
    <w:bookmarkStart w:name="z10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регистрации и хранения информации, необходимой для расследования аварии.</w:t>
      </w:r>
    </w:p>
    <w:bookmarkEnd w:id="96"/>
    <w:bookmarkStart w:name="z10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 проекте должна быть обоснована и предусмотрена возможность резервирования (по количеству и местам размещения на случай аварии) измерительных каналов, средств представления информации о радиационной обстановке в пределах здания и территории ИЯУ с выводом информации на пост (посты) управления противоаварийными мероприятиями за пределами санитарно-защитной зоны.</w:t>
      </w:r>
    </w:p>
    <w:bookmarkEnd w:id="97"/>
    <w:bookmarkStart w:name="z10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Требования к последовательности и объему предпусковых наладочных работ, а также приемочные критерии для вводимых в эксплуатацию оборудования и систем ИЯУ должны устанавливаться в проекте.</w:t>
      </w:r>
    </w:p>
    <w:bookmarkEnd w:id="98"/>
    <w:bookmarkStart w:name="z103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Требования к безопасности к ИЯУ</w:t>
      </w:r>
      <w:r>
        <w:br/>
      </w:r>
      <w:r>
        <w:rPr>
          <w:rFonts w:ascii="Times New Roman"/>
          <w:b/>
          <w:i w:val="false"/>
          <w:color w:val="000000"/>
        </w:rPr>
        <w:t>Требования к системам нормальной эксплуатации ИЯУ</w:t>
      </w:r>
    </w:p>
    <w:bookmarkEnd w:id="99"/>
    <w:bookmarkStart w:name="z10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Активная зона и отражатель ИЯУ должны быть спроектированы так, чтобы обеспечивалась порционная загрузка (перегрузка) ЯТ (ЯМ) и ИЯУ могла быть приведена в подкритическое состояние при всех режимах эксплуатации и проектных авариях.</w:t>
      </w:r>
    </w:p>
    <w:bookmarkEnd w:id="100"/>
    <w:bookmarkStart w:name="z10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Конструкция активной зоны и отражателя ИЯУ должна исключать непредусмотренные изменения их геометрии и состава.</w:t>
      </w:r>
    </w:p>
    <w:bookmarkEnd w:id="101"/>
    <w:bookmarkStart w:name="z10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Материалы для тепловыделяющих элементов, тепловыделяющих сборок, других элементов активной зоны, отражателя и рабочих органов СУЗ ИЯУ должны выбираться с учетом изменения их теплотехнических, механических и физико-химических характеристик в процессе его эксплуатации.</w:t>
      </w:r>
    </w:p>
    <w:bookmarkEnd w:id="102"/>
    <w:bookmarkStart w:name="z10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Используемые в составе активной зоны ядерные материалы, конструкция активной зоны и отражателя ИЯУ не должны допускать образования вторичных критических масс при запроектных авариях, сопровождающихся разрушением ИЯУ.</w:t>
      </w:r>
    </w:p>
    <w:bookmarkEnd w:id="103"/>
    <w:bookmarkStart w:name="z10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Мощностной коэффициент реактивности ИЯУ, коэффициенты реактивности по температуре теплоносителя и ядерных материалов ИЯУ должны быть отрицательными во всем диапазоне изменения параметров при нормальной эксплуатации, нарушениях нормальной эксплуатации, включая проектные аварии.</w:t>
      </w:r>
    </w:p>
    <w:bookmarkEnd w:id="104"/>
    <w:bookmarkStart w:name="z10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Эксплуатационные пределы повреждения тепловыделяющих элементов или уровни радиоактивности теплоносителя первого контура ИР должны соответствовать установленным в проекте.</w:t>
      </w:r>
    </w:p>
    <w:bookmarkEnd w:id="105"/>
    <w:bookmarkStart w:name="z11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Деформация элементов активной зоны ИЯУ при нормальной эксплуатации и нарушениях нормальной эксплуатации, включая проектные аварии, не должна приводить к ухудшению условий теплоотвода, вызывающему превышение максимально допустимой температуры элементов активной зоны.</w:t>
      </w:r>
    </w:p>
    <w:bookmarkEnd w:id="106"/>
    <w:bookmarkStart w:name="z11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Активная зона и отражатель ИЯУ должны обладать такими нейтронно-физическими характеристиками, при которых любые изменения реактивности, возникающие при нормальной эксплуатации, нарушениях нормальной эксплуатации, включая проектные аварии, не приведут к повреждению элементов активной зоны и изделий, размещенных в экспериментальной петле, сверх установленных пределов или к превышению установленного уровня радиоактивности теплоносителя.</w:t>
      </w:r>
    </w:p>
    <w:bookmarkEnd w:id="107"/>
    <w:bookmarkStart w:name="z248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Требования к первому контуру ИР</w:t>
      </w:r>
    </w:p>
    <w:bookmarkEnd w:id="108"/>
    <w:bookmarkStart w:name="z11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Конструкция первого контура ИР должна обеспечивать теплоотвод от активной зоны ИР, исключающий температурные режимы элементов активной зоны, экспериментальных устройств и теплоносителя, нарушающие пределы по температуре и скорости ее изменения, установленные проектом для нормальной эксплуатации и на случай нарушения нормальной эксплуатации, включая проектные аварии.</w:t>
      </w:r>
    </w:p>
    <w:bookmarkEnd w:id="109"/>
    <w:bookmarkStart w:name="z11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При выборе конструкционных материалов и определении срока службы первого контура ИР должны учитываться коррозионно-химические, нейтронно-физические, радиационные, тепловые, гидравлические и другие воздействия, возможные при нормальной эксплуатации, нарушениях нормальной эксплуатации, включая проектные аварии.</w:t>
      </w:r>
    </w:p>
    <w:bookmarkEnd w:id="110"/>
    <w:bookmarkStart w:name="z11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Системы и элементы первого контура ИР должны выдерживать статические и динамические нагрузки и температурные воздействия при проектных авариях.</w:t>
      </w:r>
    </w:p>
    <w:bookmarkEnd w:id="111"/>
    <w:bookmarkStart w:name="z11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Химический состав теплоносителя, а также требования к средствам, обеспечивающим очистку теплоносителя от радиоактивных продуктов деления и коррозии должны соответствовать требованиям, установленным в проекте.</w:t>
      </w:r>
    </w:p>
    <w:bookmarkEnd w:id="112"/>
    <w:bookmarkStart w:name="z11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Конструкция ИР и компоновка первого контура ИР должны исключать возможность непреднамеренного дренирования теплоносителя из активной зоны и экспериментальных петель.</w:t>
      </w:r>
    </w:p>
    <w:bookmarkEnd w:id="113"/>
    <w:bookmarkStart w:name="z11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Компоновка оборудования и выбор геометрии первого контура ИР должны обеспечить естественную циркуляцию теплоносителя с эффективностью, достаточной для предотвращения повреждения тепловыделяющих элементов и других элементов активной зоны сверх установленных проектом пределов при потере принудительной циркуляции теплоносителя.</w:t>
      </w:r>
    </w:p>
    <w:bookmarkEnd w:id="114"/>
    <w:bookmarkStart w:name="z11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В первом контуре ИР с жидкометаллическим теплоносителем и ИР с раствором ЯМ должны отсутствовать недренируемые застойные зоны.</w:t>
      </w:r>
    </w:p>
    <w:bookmarkEnd w:id="115"/>
    <w:bookmarkStart w:name="z119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Требования к управляющим системам нормальной эксплуатации ИЯУ</w:t>
      </w:r>
    </w:p>
    <w:bookmarkEnd w:id="116"/>
    <w:bookmarkStart w:name="z12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Управляющие системы нормальной эксплуатации должны обеспечивать автоматизированное и (или) автоматическое управление технологическим оборудованием ИЯУ с целью достижения и поддержания в заданном диапазоне технических характеристик ИЯУ.</w:t>
      </w:r>
    </w:p>
    <w:bookmarkEnd w:id="117"/>
    <w:bookmarkStart w:name="z12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Должны быть предусмотрены средства и методы, обеспечивающие:</w:t>
      </w:r>
    </w:p>
    <w:bookmarkEnd w:id="118"/>
    <w:bookmarkStart w:name="z122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контроль плотности потока нейтронов во всех режимах эксплуатации, в том числе при загрузке (перегрузке) активной зоны ИЯУ;</w:t>
      </w:r>
    </w:p>
    <w:bookmarkEnd w:id="119"/>
    <w:bookmarkStart w:name="z123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управление ИЯУ, в том числе управление внешним источником нейтронов, вывод на заданный уровень мощности и поддержание мощности с заданной в проекте точностью;</w:t>
      </w:r>
    </w:p>
    <w:bookmarkEnd w:id="120"/>
    <w:bookmarkStart w:name="z124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диагностирование оборудования и средств автоматизации СВБ;</w:t>
      </w:r>
    </w:p>
    <w:bookmarkEnd w:id="121"/>
    <w:bookmarkStart w:name="z125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информационное обеспечение оператора ИЯУ;</w:t>
      </w:r>
    </w:p>
    <w:bookmarkEnd w:id="122"/>
    <w:bookmarkStart w:name="z126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контроль радиоактивности теплоносителя первого контура и экспериментальных петель, выбросов и сбросов радионуклидов, а также радиационной обстановки в помещениях и на площадке ИЯУ;</w:t>
      </w:r>
    </w:p>
    <w:bookmarkEnd w:id="123"/>
    <w:bookmarkStart w:name="z127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контроль отсутствия утечки теплоносителя (замедлителя) гетерогенного ИР, замедлителя критической сборки, раствора ЯМ гомогенного ИР;</w:t>
      </w:r>
    </w:p>
    <w:bookmarkEnd w:id="124"/>
    <w:bookmarkStart w:name="z128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контроль качества теплоносителя;</w:t>
      </w:r>
    </w:p>
    <w:bookmarkEnd w:id="125"/>
    <w:bookmarkStart w:name="z129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контроль выполнения условий безопасного хранения ЯМ и радиоактивных материалов.</w:t>
      </w:r>
    </w:p>
    <w:bookmarkEnd w:id="126"/>
    <w:bookmarkStart w:name="z130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Должны быть обоснованы и приведены перечни контролируемых параметров и сигналов о состоянии ИЯУ, перечни регулируемых параметров и управляющих сигналов, а также перечни параметров состояния ИЯУ, по которым обеспечивается введение в действие СБ.</w:t>
      </w:r>
    </w:p>
    <w:bookmarkEnd w:id="127"/>
    <w:bookmarkStart w:name="z131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В случае использования в составе ИР и КС автоматического регулятора мощности в проекте должен быть определен диапазон мощности, в пределах которого регулирование осуществляется автоматическим регулятором, установлены и обоснованы характеристики автоматического регулятора.</w:t>
      </w:r>
    </w:p>
    <w:bookmarkEnd w:id="128"/>
    <w:bookmarkStart w:name="z132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Управляющая система нормальной эксплуатации должна вырабатывать на пультах (щитах) пункта управления световые и звуковые сигналы о нарушении эксплуатационных пределов, пределов и условий безопасной эксплуатации.</w:t>
      </w:r>
    </w:p>
    <w:bookmarkEnd w:id="129"/>
    <w:bookmarkStart w:name="z133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Неисправность каналов контроля и управления управляющих систем нормальной эксплуатации должна приводить к срабатыванию сигнализации, информирующей персонал пункта управления о состоянии управляющей системы нормальной эксплуатации.</w:t>
      </w:r>
    </w:p>
    <w:bookmarkEnd w:id="130"/>
    <w:bookmarkStart w:name="z134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Требования к защитным системам безопасности ИЯУ</w:t>
      </w:r>
    </w:p>
    <w:bookmarkEnd w:id="131"/>
    <w:bookmarkStart w:name="z135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Перечень событий и проектных аварий, требующих использования защитных систем безопасности (далее - ЗСБ), включая систему останова и систему аварийного отвода тепла, и соответствие ЗСБ предъявляемым к ним требованиям должны соответствовать требованиям, установленным в проекте.</w:t>
      </w:r>
    </w:p>
    <w:bookmarkEnd w:id="132"/>
    <w:bookmarkStart w:name="z136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Система останова ИР и система останова КС могут включать в себя подсистемы, одна или несколько из которых должны обеспечивать быстрый перевод в подкритическое состояние (аварийную защиту) ИР или КС.</w:t>
      </w:r>
    </w:p>
    <w:bookmarkEnd w:id="133"/>
    <w:bookmarkStart w:name="z137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Система останова ИЯУ должна обеспечивать удержание ИЯУ в подкритическом состоянии в любых режимах нормальной эксплуатации и при нарушениях нормальной эксплуатации, включая проектные аварии.</w:t>
      </w:r>
    </w:p>
    <w:bookmarkEnd w:id="134"/>
    <w:bookmarkStart w:name="z138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Эффективность и быстродействие системы останова ИЯУ должны быть достаточны для ограничения энерговыделения в активной зоне уровнем, не приводящим к повреждению тепловыделяющих элементов сверх установленных пределов для нормальной эксплуатации или проектной аварии, и подавления положительной реактивности, возникающей в результате проявления любого эффекта реактивности или возможного сочетания эффектов реактивности при нормальной эксплуатации, нарушениях нормальной эксплуатации и проектных авариях. Для ПКС допускается отсутствие систем останова в случае, если при любых исходных событиях аварий и отказах по общей причине исключается достижение ПКС критического состояния.</w:t>
      </w:r>
    </w:p>
    <w:bookmarkEnd w:id="135"/>
    <w:bookmarkStart w:name="z139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Перевод ИЯУ в подкритическое состояние системой останова не должен зависеть от наличия энергопитания.</w:t>
      </w:r>
    </w:p>
    <w:bookmarkEnd w:id="136"/>
    <w:bookmarkStart w:name="z140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Кроме автоматического срабатывания, должна быть предусмотрена возможность включения отдельных подсистем системы останова по инициативе оператора управления ИЯУ и на месте загрузки ЯТ.</w:t>
      </w:r>
    </w:p>
    <w:bookmarkEnd w:id="137"/>
    <w:bookmarkStart w:name="z141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Система аварийного отвода тепла из активной зоны ИР должна предотвращать повреждение ЯТ и других элементов активной зоны при любом исходном событии, учитываемом проектом, в том числе при нарушении целостности границ первого контура.</w:t>
      </w:r>
    </w:p>
    <w:bookmarkEnd w:id="138"/>
    <w:bookmarkStart w:name="z142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Для находящегося в подкритическом состоянии ИР должны быть предусмотрены меры по предотвращению выхода в критическое состояние и превышения допустимого давления в системах контура теплоносителя при включении и работе системы аварийного отвода тепла из активной зоны.</w:t>
      </w:r>
    </w:p>
    <w:bookmarkEnd w:id="139"/>
    <w:bookmarkStart w:name="z143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Срабатывание ЗСБ не должно приводить к отказам оборудования систем нормальной эксплуатации.</w:t>
      </w:r>
    </w:p>
    <w:bookmarkEnd w:id="140"/>
    <w:bookmarkStart w:name="z144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Работоспособность ЗСБ в экстремальных условиях (пожар, затопление помещений и другое) должна соответствовать требованиям, установленным в проекте.</w:t>
      </w:r>
    </w:p>
    <w:bookmarkEnd w:id="141"/>
    <w:bookmarkStart w:name="z145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Требования к локализующим системам безопасности ИЯУ</w:t>
      </w:r>
    </w:p>
    <w:bookmarkEnd w:id="142"/>
    <w:bookmarkStart w:name="z146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Для предотвращения выхода РВ и ионизирующего излучения при нормальной эксплуатации, нарушениях нормальной эксплуатации и авариях за установленные проектом границы, на ИЯУ должны быть предусмотрены локализующие системы безопасности (далее - ЛСБ), в виде герметичных помещений, емкостей, поддонов для хранения и проведения работ с РВ.</w:t>
      </w:r>
    </w:p>
    <w:bookmarkEnd w:id="143"/>
    <w:bookmarkStart w:name="z147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Степень допустимой негерметичности помещений ЛСБ и способы ее достижения должна соответствовать требованиям установленным в проекте.</w:t>
      </w:r>
    </w:p>
    <w:bookmarkEnd w:id="144"/>
    <w:bookmarkStart w:name="z148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Соответствие фактической герметичности ЛСБ помещений проектной должно быть подтверждено до загрузки активной зоны ИЯУ ядерными материалами и регулярно проверяться в процессе эксплуатации.</w:t>
      </w:r>
    </w:p>
    <w:bookmarkEnd w:id="145"/>
    <w:bookmarkStart w:name="z14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Все пересекающие контур герметизации коммуникации, через которые при аварии возможен недопустимый выход РВ за границы помещений ЛСБ, должны быть оборудованы изолирующими элементами.</w:t>
      </w:r>
    </w:p>
    <w:bookmarkEnd w:id="146"/>
    <w:bookmarkStart w:name="z15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При разработке ЛСБ ИЯУ должна быть рассмотрена необходимость использования в зоне локализации возможной аварии элементов ЛСБ, выполняющих следующие основные функции:</w:t>
      </w:r>
    </w:p>
    <w:bookmarkEnd w:id="147"/>
    <w:bookmarkStart w:name="z15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снижение давления;</w:t>
      </w:r>
    </w:p>
    <w:bookmarkEnd w:id="148"/>
    <w:bookmarkStart w:name="z15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отвод тепла;</w:t>
      </w:r>
    </w:p>
    <w:bookmarkEnd w:id="149"/>
    <w:bookmarkStart w:name="z15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снижение концентрации РВ;</w:t>
      </w:r>
    </w:p>
    <w:bookmarkEnd w:id="150"/>
    <w:bookmarkStart w:name="z15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контроль концентрации взрывоопасных газов;</w:t>
      </w:r>
    </w:p>
    <w:bookmarkEnd w:id="151"/>
    <w:bookmarkStart w:name="z155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поддержание концентрации взрывоопасных газов и аэрозолей ниже нижнего концентрационного предела распространения пламени.</w:t>
      </w:r>
    </w:p>
    <w:bookmarkEnd w:id="152"/>
    <w:bookmarkStart w:name="z156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Применение (неприменение) этих или других функций устанавливается проектом и должно быть представлено в отчете по анализу безопасности (далее - ОАБ) ИЯУ.</w:t>
      </w:r>
    </w:p>
    <w:bookmarkEnd w:id="153"/>
    <w:bookmarkStart w:name="z157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Требования к управляющим системам безопасности ИЯУ</w:t>
      </w:r>
    </w:p>
    <w:bookmarkEnd w:id="154"/>
    <w:bookmarkStart w:name="z15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Управляющие системы безопасности (далее - УСБ) должны обеспечивать автоматическое и автоматизированное выполнение функций безопасности и вводить в действие ЗСБ при возникновении условий, предусмотренных проектом.</w:t>
      </w:r>
    </w:p>
    <w:bookmarkEnd w:id="155"/>
    <w:bookmarkStart w:name="z159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Предусматривается объединение измерительных каналов УСБ и управляющих систем нормальной эксплуатации, при этом должно быть доказано, что повреждение или отказ в управляющих системах нормальной эксплуатации не повлияют на способность УСБ выполнять функции безопасности.</w:t>
      </w:r>
    </w:p>
    <w:bookmarkEnd w:id="156"/>
    <w:bookmarkStart w:name="z160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Каждая УСБ должна обеспечивать выполнение функций безопасности не менее чем по двум измерительным каналам своего технологического параметра во всем проектном диапазоне его изменения.</w:t>
      </w:r>
    </w:p>
    <w:bookmarkEnd w:id="157"/>
    <w:bookmarkStart w:name="z161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Допустимость и условия вывода из работы одного из измерительных каналов УСБ должны быть обоснованы в проекте.</w:t>
      </w:r>
    </w:p>
    <w:bookmarkEnd w:id="158"/>
    <w:bookmarkStart w:name="z162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Данные, полученные от средств регистрации УСБ, должны быть достаточными для выявления и фиксации:</w:t>
      </w:r>
    </w:p>
    <w:bookmarkEnd w:id="159"/>
    <w:bookmarkStart w:name="z163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исходного события, явившегося причиной нарушения эксплуатационных пределов или пределов безопасной эксплуатации ИЯУ, и времени его возникновения;</w:t>
      </w:r>
    </w:p>
    <w:bookmarkEnd w:id="160"/>
    <w:bookmarkStart w:name="z164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изменений технологических параметров в процессе развития аварий;</w:t>
      </w:r>
    </w:p>
    <w:bookmarkEnd w:id="161"/>
    <w:bookmarkStart w:name="z165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действий СБ;</w:t>
      </w:r>
    </w:p>
    <w:bookmarkEnd w:id="162"/>
    <w:bookmarkStart w:name="z166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действий персонала пункта управления.</w:t>
      </w:r>
    </w:p>
    <w:bookmarkEnd w:id="163"/>
    <w:bookmarkStart w:name="z167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Возможность ложных срабатываний УСБ должна быть сокращена до минимума.</w:t>
      </w:r>
    </w:p>
    <w:bookmarkEnd w:id="164"/>
    <w:bookmarkStart w:name="z168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Отказ в цепи автоматического включения не должен препятствовать автоматизированному включению СБ.</w:t>
      </w:r>
    </w:p>
    <w:bookmarkEnd w:id="165"/>
    <w:bookmarkStart w:name="z169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Для УСБ должны предусматриваться:</w:t>
      </w:r>
    </w:p>
    <w:bookmarkEnd w:id="166"/>
    <w:bookmarkStart w:name="z170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непрерывная автоматическая диагностика работоспособности;</w:t>
      </w:r>
    </w:p>
    <w:bookmarkEnd w:id="167"/>
    <w:bookmarkStart w:name="z171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периодическая диагностика исправности каналов УСБ и диагностика систем (элементов) с пультов (щитов) управления.</w:t>
      </w:r>
    </w:p>
    <w:bookmarkEnd w:id="168"/>
    <w:bookmarkStart w:name="z172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Отказы технических и программных средств и повреждения УСБ должны приводить к появлению сигналов на пультах пункта управления и вызывать действия, направленные на обеспечение безопасности ИЯУ.</w:t>
      </w:r>
    </w:p>
    <w:bookmarkEnd w:id="169"/>
    <w:bookmarkStart w:name="z173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Отказ элементов отображения, регистрации, информации и диагностики не должен влиять на выполнение УСБ своих защитных функций.</w:t>
      </w:r>
    </w:p>
    <w:bookmarkEnd w:id="170"/>
    <w:bookmarkStart w:name="z174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Анализ надежности УСБ с учетом требований на срабатывание систем и с учетом возможных отказов по общей причине должен соответствовать требованиям, установленным в проекте.</w:t>
      </w:r>
    </w:p>
    <w:bookmarkEnd w:id="171"/>
    <w:bookmarkStart w:name="z175" w:id="1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Требования к обеспечивающим системам безопасности ИЯУ</w:t>
      </w:r>
    </w:p>
    <w:bookmarkEnd w:id="172"/>
    <w:bookmarkStart w:name="z176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 Должны быть предусмотрены необходимые обеспечивающие системы безопасности (далее - ОСБ), выполняющие функции энергоснабжения и снабжения СБ рабочей средой и создания требуемых условий их функционирования.</w:t>
      </w:r>
    </w:p>
    <w:bookmarkEnd w:id="173"/>
    <w:bookmarkStart w:name="z177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76. ОСБ должны иметь показатели надежности выполнения заданных функций, достаточные для того, чтобы в совокупности с показателями надежности СБ, которые они обеспечивают, достигалась необходимая надежность функционирования последних.</w:t>
      </w:r>
    </w:p>
    <w:bookmarkEnd w:id="174"/>
    <w:bookmarkStart w:name="z178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77. Выполнение ОСБ своих функций должно иметь безусловный приоритет над действием внутренних защит элементов ОСБ, если это не приводит к более тяжелым последствиям аварий при невыполнении указанных функций безопасности. Перечень неотключаемых внутренних защит элементов ОСБ должен быть обоснован в проекте.</w:t>
      </w:r>
    </w:p>
    <w:bookmarkEnd w:id="175"/>
    <w:bookmarkStart w:name="z179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78. Должны быть обоснованы категории электроприемников ИЯУ по надежности электроснабжения, максимально допустимый перерыв в электроснабжении, а также тип автономных источников питания системы аварийного электроснабжения.</w:t>
      </w:r>
    </w:p>
    <w:bookmarkEnd w:id="176"/>
    <w:bookmarkStart w:name="z180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79. Аварийное электроснабжение должно обеспечивать выполнение функций безопасности при проектных и запроектных авариях.</w:t>
      </w:r>
    </w:p>
    <w:bookmarkEnd w:id="177"/>
    <w:bookmarkStart w:name="z181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80. Должны быть предусмотрены необходимые и достаточные средства для противопожарной защиты ИЯУ, в том числе средства обнаружения и тушения горения замедлителя и теплоносителя.</w:t>
      </w:r>
    </w:p>
    <w:bookmarkEnd w:id="178"/>
    <w:bookmarkStart w:name="z182" w:id="1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Требования к пункту управления ИЯУ</w:t>
      </w:r>
    </w:p>
    <w:bookmarkEnd w:id="179"/>
    <w:bookmarkStart w:name="z183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81. Пункт управления ИЯУ, откуда осуществляется автоматизированное управление технологическим процессом, системами нормальной эксплуатации и системами безопасности, должен предусматривать:</w:t>
      </w:r>
    </w:p>
    <w:bookmarkEnd w:id="180"/>
    <w:bookmarkStart w:name="z184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средства контроля за уровнем плотности потока нейтронов и скорости его изменения во всех режимах эксплуатации ИЯУ, включая операции по загрузке (перегрузке) ЯТ;</w:t>
      </w:r>
    </w:p>
    <w:bookmarkEnd w:id="181"/>
    <w:bookmarkStart w:name="z185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средства управления уровнем плотности потока нейтронов;</w:t>
      </w:r>
    </w:p>
    <w:bookmarkEnd w:id="182"/>
    <w:bookmarkStart w:name="z186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указатели положения рабочих органов СУЗ и средства контроля за состоянием систем останова;</w:t>
      </w:r>
    </w:p>
    <w:bookmarkEnd w:id="183"/>
    <w:bookmarkStart w:name="z187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системы информационной поддержки оператора, обеспечивающие предоставление персоналу пункта управления информации о текущем состоянии ИЯУ, объем и качество которой должны быть достаточными для принятия оперативных обоснованных решений во всех режимах эксплуатации ИЯУ;</w:t>
      </w:r>
    </w:p>
    <w:bookmarkEnd w:id="184"/>
    <w:bookmarkStart w:name="z188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средства предупредительной и аварийной сигнализации.</w:t>
      </w:r>
    </w:p>
    <w:bookmarkEnd w:id="185"/>
    <w:bookmarkStart w:name="z189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82. Должна быть обеспечена жизнеспособность пункта управления во всех режимах эксплуатации ИЯУ и при проектных авариях.</w:t>
      </w:r>
    </w:p>
    <w:bookmarkEnd w:id="186"/>
    <w:bookmarkStart w:name="z190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83. Выбор и расположение приборов, дисплеев, ключей управления и так далее в пункте управления должны проводиться с учетом требований эргономики.</w:t>
      </w:r>
    </w:p>
    <w:bookmarkEnd w:id="187"/>
    <w:bookmarkStart w:name="z191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84. Для ИР и КС должно быть предусмотрено наличие резервного пункта управления, который используется в случае отсутствия возможности управления системами ИР (КС) из основного пункта управления.</w:t>
      </w:r>
    </w:p>
    <w:bookmarkEnd w:id="188"/>
    <w:bookmarkStart w:name="z192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85. Техническими мерами должна быть исключена возможность управления ИЯУ одновременно из основного пункта управления и резервного пункта управления.</w:t>
      </w:r>
    </w:p>
    <w:bookmarkEnd w:id="189"/>
    <w:bookmarkStart w:name="z193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86. Должны быть обеспечены возможность выполнения персоналом из резервного пункта управления следующих функций:</w:t>
      </w:r>
    </w:p>
    <w:bookmarkEnd w:id="190"/>
    <w:bookmarkStart w:name="z194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перевод ИР (КС) в подкритическое состояние;</w:t>
      </w:r>
    </w:p>
    <w:bookmarkEnd w:id="191"/>
    <w:bookmarkStart w:name="z195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аварийное расхолаживание ИР в случаях, определенных проектом;</w:t>
      </w:r>
    </w:p>
    <w:bookmarkEnd w:id="192"/>
    <w:bookmarkStart w:name="z196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контроль состояния ИР (КС) и радиационной обстановки в процессе проведения мероприятий по ликвидации аварии.</w:t>
      </w:r>
    </w:p>
    <w:bookmarkEnd w:id="193"/>
    <w:bookmarkStart w:name="z197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87. Отказ от резервного пункта управления для КС должен быть обоснован в проекте.</w:t>
      </w:r>
    </w:p>
    <w:bookmarkEnd w:id="194"/>
    <w:bookmarkStart w:name="z198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88. Отказы по общей причине не должны приводить к одновременному отказу цепей контроля и управления из основного пункта управления и из резервного пункта управления.</w:t>
      </w:r>
    </w:p>
    <w:bookmarkEnd w:id="195"/>
    <w:bookmarkStart w:name="z199" w:id="1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Требования к экспериментальным устройствам</w:t>
      </w:r>
    </w:p>
    <w:bookmarkEnd w:id="196"/>
    <w:bookmarkStart w:name="z200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89. Экспериментальные устройства, назначение, порядок монтажа (демонтажа) и условия безопасной эксплуатации которых определены на стадии проектирования, и отказ которых может служить исходным событием аварии, должны соответствовать требованиям, предъявляемыми к системам важным для безопасности.</w:t>
      </w:r>
    </w:p>
    <w:bookmarkEnd w:id="197"/>
    <w:bookmarkStart w:name="z201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90. Конструкция экспериментальных устройств должна исключать возможность непредусмотренного изменения реактивности при их монтаже (демонтаже) и эксплуатации.</w:t>
      </w:r>
    </w:p>
    <w:bookmarkEnd w:id="198"/>
    <w:bookmarkStart w:name="z202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91. Экспериментальные устройства должны иметь утвержденную в установленном порядке техническую документацию, включая расчетную и, в необходимых случаях, экспериментальную оценку их влияния на реактивность, распределение полей энерговыделения в активной зоне и эффективность рабочих органов СУЗ.</w:t>
      </w:r>
    </w:p>
    <w:bookmarkEnd w:id="199"/>
    <w:bookmarkStart w:name="z203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92. Основные параметры экспериментальных устройств, влияющие на безопасность ИЯУ, должны быть выведены в основной пункт управления.</w:t>
      </w:r>
    </w:p>
    <w:bookmarkEnd w:id="200"/>
    <w:bookmarkStart w:name="z204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93. В проекте должно предусматриваться обеспечение радиационной безопасности персонала, занятого обслуживанием экспериментальных устройств.</w:t>
      </w:r>
    </w:p>
    <w:bookmarkEnd w:id="201"/>
    <w:bookmarkStart w:name="z205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94. Выбор и планировка помещений для горячей камеры, лаборатории активационных измерений и их оснащение оборудованием и техническими средствами, выбор маршрутов и разработка технологической оснастки для транспортирования облученных в экспериментальных устройствах изделий должны проводиться в проекте с позиции минимизации дозовых нагрузок на работников (персонал).</w:t>
      </w:r>
    </w:p>
    <w:bookmarkEnd w:id="202"/>
    <w:bookmarkStart w:name="z206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95. Экспериментальные устройства не должны приводить к возникновению локальных критических масс и к перекосам полей энерговыделения, которые могут привести к повреждению тепловыделяющих элементов и установки.</w:t>
      </w:r>
    </w:p>
    <w:bookmarkEnd w:id="203"/>
    <w:bookmarkStart w:name="z207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96. Экспериментальные устройства должны быть сконструированы таким образом, чтобы исключалась возможность их непредусмотренного перемещения, приводящего к изменению реактивности активной зоны.</w:t>
      </w:r>
    </w:p>
    <w:bookmarkEnd w:id="204"/>
    <w:bookmarkStart w:name="z208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97. Монтаж и демонтаж экспериментальных устройств не должны приводить к непредусмотренному перемещению других устройств и компонент активной зоны.</w:t>
      </w:r>
    </w:p>
    <w:bookmarkEnd w:id="205"/>
    <w:bookmarkStart w:name="z209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98. Экспериментальные устройства оснащаются (при необходимости) детекторами контроля нейтронного потока, теплофизических и других параметров.</w:t>
      </w:r>
    </w:p>
    <w:bookmarkEnd w:id="206"/>
    <w:bookmarkStart w:name="z210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99. Включение сигналов от измерительной аппаратуры экспериментальных устройств в СУЗ установки не должно ухудшать способность аварийной защиты выполнять свои защитные функции.</w:t>
      </w:r>
    </w:p>
    <w:bookmarkEnd w:id="207"/>
    <w:bookmarkStart w:name="z211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100. Обеспечение безопасности при эксплуатации экспериментальных устройств должно быть обосновано в ОАБ ИЯУ.</w:t>
      </w:r>
    </w:p>
    <w:bookmarkEnd w:id="208"/>
    <w:bookmarkStart w:name="z212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101. В проекте должны быть учтены вопросы вывода экспериментальных устройств из эксплуатации.</w:t>
      </w:r>
    </w:p>
    <w:bookmarkEnd w:id="209"/>
    <w:bookmarkStart w:name="z213" w:id="2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Эксплуатация ИЯУ и проведение экспериментов</w:t>
      </w:r>
    </w:p>
    <w:bookmarkEnd w:id="210"/>
    <w:bookmarkStart w:name="z214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102. Эксплуатация ИЯУ в режиме пуска и работа на мощности должна проводиться в соответствии с технологическим регламентом и инструкциями по эксплуатации систем и оборудования и в объеме программы экспериментальных исследований, утвержденной администрацией ИЯУ и состоящей, в минимально необходимом объеме, из:</w:t>
      </w:r>
    </w:p>
    <w:bookmarkEnd w:id="211"/>
    <w:bookmarkStart w:name="z215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общей программы экспериментальных исследований, утвержденной администрацией ИЯУ, определяющей цели и задачи каждого из этапов исследований, отличающихся используемыми экспериментальными устройствами и (или) методическим обеспечением;</w:t>
      </w:r>
    </w:p>
    <w:bookmarkEnd w:id="212"/>
    <w:bookmarkStart w:name="z216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рабочей программы для каждого из этапов исследований, утвержденной администрацией ИЯУ и охватывающей один тип экспериментов, предусмотренных общей программой экспериментальных исследований и связанных с использованием, например, определенных экспериментальных устройств или проведением пусков с одинаковыми мощностными или реактивностными характеристиками ИЯУ. Рабочая программа должна содержать перечень используемых экспериментальных устройств, порядок и методику проведения экспериментов, ожидаемые эффекты реактивности и меры по обеспечению безопасности с учетом специфики предстоящих работ.</w:t>
      </w:r>
    </w:p>
    <w:bookmarkEnd w:id="213"/>
    <w:bookmarkStart w:name="z217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103. Проведение экспериментов на ИЯУ подразделяется на подготовку к эксперименту и проведение эксперимента. Оба этапа ядерноопасны и должны выполняться в строгом соответствии с действующими на ИЯУ технологическими регламентами, инструкциями и программами, утвержденными администрацией ИЯУ.</w:t>
      </w:r>
    </w:p>
    <w:bookmarkEnd w:id="214"/>
    <w:bookmarkStart w:name="z218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104. Режим пуска и работа на мощности должен быть прекращен и ИЯУ переведена в режим временного останова, если при пуске ИЯУ или при работе на мощности не обеспечивается соблюдение пределов и условий безопасной эксплуатации.</w:t>
      </w:r>
    </w:p>
    <w:bookmarkEnd w:id="215"/>
    <w:bookmarkStart w:name="z219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105. Для ИЯУ должны быть обоснованы квота предела дозы и предельные значения выбросов (сбросов) радионуклидов во внешнюю среду.</w:t>
      </w:r>
    </w:p>
    <w:bookmarkEnd w:id="216"/>
    <w:bookmarkStart w:name="z220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106. Администрация ИЯУ должна обеспечить комплектацию всех категорий персонала в соответствии с установленным проектом количеством, уровнем квалификации и опытом.</w:t>
      </w:r>
    </w:p>
    <w:bookmarkEnd w:id="217"/>
    <w:bookmarkStart w:name="z221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107. Руководство экспериментами на ИЯУ осуществляет лицо, ответственное за техническое руководство, или другое, назначенное приказом администрации ИЯУ, обладающее соответствующей квалификацией и опытом работы.</w:t>
      </w:r>
    </w:p>
    <w:bookmarkEnd w:id="218"/>
    <w:bookmarkStart w:name="z222" w:id="2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Режим временного останова</w:t>
      </w:r>
    </w:p>
    <w:bookmarkEnd w:id="219"/>
    <w:bookmarkStart w:name="z223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108. При эксплуатации ИЯУ в режиме временного останова техническое обслуживание должно проводиться в соответствии с технологическим регламентом, инструкциями, программами и графиками, разработанными руководством ИЯУ на основе проектно-конструкторской и эксплуатационной документации ИЯУ. При этом должны учитываться требования проекта к условиям вывода СБ на техническое обслуживание, ремонт и испытания. Все выполняемые работы должны документироваться.</w:t>
      </w:r>
    </w:p>
    <w:bookmarkEnd w:id="220"/>
    <w:bookmarkStart w:name="z224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109. В режиме временного останова ИЯУ, в том числе при проведении ремонта или замене оборудования и экспериментальных устройств, влияющих на реактивность, имеющиеся технические средства должны обеспечивать контроль плотности потока нейтронов и основных технологических параметров ИЯУ.</w:t>
      </w:r>
    </w:p>
    <w:bookmarkEnd w:id="221"/>
    <w:bookmarkStart w:name="z225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110. После завершения ремонтных работ СВБ должны проверяться на работоспособность и соответствие проектным характеристикам с документальным оформлением результатов этих проверок.</w:t>
      </w:r>
    </w:p>
    <w:bookmarkEnd w:id="222"/>
    <w:bookmarkStart w:name="z226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111. В эксплуатационной документации ИЯУ должны быть установлены меры безопасности при проведении ядерно-опасных работ на ИЯУ (связанных, например, с заменой испытываемых в экспериментальной петле ИР элементов, частичной или полной заменой тепловыделяющих сборок активной зоны, ремонтом (заменой) исполнительных механизмов рабочих органов СУЗ и так далее).</w:t>
      </w:r>
    </w:p>
    <w:bookmarkEnd w:id="223"/>
    <w:bookmarkStart w:name="z227" w:id="2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Режим окончательного останова</w:t>
      </w:r>
    </w:p>
    <w:bookmarkEnd w:id="224"/>
    <w:bookmarkStart w:name="z228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112. Администрация ИЯУ должна уведомить уполномоченный орган в области использования атомной энергии о принятом решении по переводу ИЯУ в режим окончательного останова.</w:t>
      </w:r>
    </w:p>
    <w:bookmarkEnd w:id="225"/>
    <w:bookmarkStart w:name="z229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113. Используемые методы консервации систем и оборудования и объем технического обслуживания ИЯУ в режиме окончательного останова должны соответствовать требованиям проекта и должны быть представлены в ОАБ ИЯУ.</w:t>
      </w:r>
    </w:p>
    <w:bookmarkEnd w:id="226"/>
    <w:bookmarkStart w:name="z230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114. В режиме окончательного останова ИЯУ администрация ИЯУ должна выполнить организационно-технические мероприятия по подготовке работ по выводу ИЯУ из эксплуатации.</w:t>
      </w:r>
    </w:p>
    <w:bookmarkEnd w:id="227"/>
    <w:bookmarkStart w:name="z231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115. Для ИЯУ в режиме окончательного останова, сокращение объема технического обслуживания ИЯУ и численности персонала должно проводиться в соответствии с требованиями, установленными в проекте, и обосновано в ОАБ ИЯУ.</w:t>
      </w:r>
    </w:p>
    <w:bookmarkEnd w:id="228"/>
    <w:bookmarkStart w:name="z232" w:id="2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Вывод из эксплуатации</w:t>
      </w:r>
    </w:p>
    <w:bookmarkEnd w:id="229"/>
    <w:bookmarkStart w:name="z233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116. Выбор варианта стратегии вывода из эксплуатации ИЯУ (немедленный демонтаж, отложенный демонтаж, захоронение на месте), должен определяться и обосновываться в проекте ИЯУ с учетом условий размещения ИЯУ.</w:t>
      </w:r>
    </w:p>
    <w:bookmarkEnd w:id="230"/>
    <w:bookmarkStart w:name="z234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117. Предварительный план вывода из эксплуатации ИЯУ разрабатывается на этапе ее проектирования.</w:t>
      </w:r>
    </w:p>
    <w:bookmarkEnd w:id="231"/>
    <w:bookmarkStart w:name="z235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118. Окончательный план вывода из эксплуатации должен быть разработан и утвержден администрацией ИЯУ за 2 года до истечения проектного срока эксплуатации ИЯУ.</w:t>
      </w:r>
    </w:p>
    <w:bookmarkEnd w:id="232"/>
    <w:bookmarkStart w:name="z236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119. Эксплуатация систем и элементов ИЯУ на этапе вывода из эксплуатации ИЯУ должна проводиться в соответствии с технологическими регламентами и инструкциями по эксплуатации. При изменении условий эксплуатации систем и элементов эти изменения должны быть внесены в установленном порядке в технологические регламенты и инструкции по эксплуатации.</w:t>
      </w:r>
    </w:p>
    <w:bookmarkEnd w:id="233"/>
    <w:bookmarkStart w:name="z237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120. Работы по выводу из эксплуатации ИЯУ завершаются после достижения установленного проектом вывода из эксплуатации ИЯУ ее конечного состояния с оформлением соответствующего документа (акта), подтверждающего завершение работ.</w:t>
      </w:r>
    </w:p>
    <w:bookmarkEnd w:id="234"/>
    <w:bookmarkStart w:name="z238" w:id="2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Действия персонала ИЯУ при возникновении аварийных ситуаций</w:t>
      </w:r>
    </w:p>
    <w:bookmarkEnd w:id="235"/>
    <w:bookmarkStart w:name="z239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121. При возникновении аварийных ситуаций персонал ИЯУ должен руководствоваться разработанными планом (мероприятиями) по действиям персонала при возникновении аварийных ситуаций.</w:t>
      </w:r>
    </w:p>
    <w:bookmarkEnd w:id="236"/>
    <w:bookmarkStart w:name="z240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122. Оператору пульта управления дается право самостоятельно останавливать ИЯУ, если он находит, что дальнейшая работа грозит безопасности ИЯУ.</w:t>
      </w:r>
    </w:p>
    <w:bookmarkEnd w:id="237"/>
    <w:bookmarkStart w:name="z241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123. О каждой аварии, отказе и нарушениях в работе администрация ИЯУ уведомляет уполномоченный орган в области использования атомной энергии.</w:t>
      </w:r>
    </w:p>
    <w:bookmarkEnd w:id="238"/>
    <w:bookmarkStart w:name="z242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124. Расследование аварий, отказов и нарушений в работе при эксплуатации ИЯУ проводится в соответствии с порядком, установленным уполномоченным органом в области использования атомной энергии.</w:t>
      </w:r>
    </w:p>
    <w:bookmarkEnd w:id="239"/>
    <w:bookmarkStart w:name="z243" w:id="2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Сроки и условия введения в действие Технического регламента</w:t>
      </w:r>
    </w:p>
    <w:bookmarkEnd w:id="240"/>
    <w:bookmarkStart w:name="z244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125. Настоящий Технический регламент вводится в действие по истечении одного года со дня первого официального опубликования.</w:t>
      </w:r>
    </w:p>
    <w:bookmarkEnd w:id="241"/>
    <w:bookmarkStart w:name="z245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126. Настоящий Технический регламент обязателен к применению для всех ИЯУ с момента введения его в действие.</w:t>
      </w:r>
    </w:p>
    <w:bookmarkEnd w:id="242"/>
    <w:bookmarkStart w:name="z246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127. Документация строящихся, эксплуатирующихся (в том числе модернизируемых и реконструируемых) ИЯУ должна быть приведена в соответствие с требованиями настоящего Технического регламента в течение одного года до введения его в действие.</w:t>
      </w:r>
    </w:p>
    <w:bookmarkEnd w:id="24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