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0e41" w14:textId="dca0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подписании Соглашения о займе (Кредит в поддержку программы развития)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Правительства Республики Казахстан от 27 мая 2010 года № 480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подписании Соглашения о займе (Кредит в поддержку программы развития) между Республикой Казахстан и Международным Банком Реконструкции и Развития".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 подписании Соглашения о займе (Кредит в поддержку программы</w:t>
      </w:r>
      <w:r>
        <w:br/>
      </w:r>
      <w:r>
        <w:rPr>
          <w:rFonts w:ascii="Times New Roman"/>
          <w:b/>
          <w:i w:val="false"/>
          <w:color w:val="000000"/>
        </w:rPr>
        <w:t>
развития) между Республикой Казахстан и Международным Банком</w:t>
      </w:r>
      <w:r>
        <w:br/>
      </w:r>
      <w:r>
        <w:rPr>
          <w:rFonts w:ascii="Times New Roman"/>
          <w:b/>
          <w:i w:val="false"/>
          <w:color w:val="000000"/>
        </w:rPr>
        <w:t>
Реконструкции и Развития</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r>
        <w:br/>
      </w:r>
      <w:r>
        <w:rPr>
          <w:rFonts w:ascii="Times New Roman"/>
          <w:b w:val="false"/>
          <w:i w:val="false"/>
          <w:color w:val="000000"/>
          <w:sz w:val="28"/>
        </w:rPr>
        <w:t>
      1. Одобрить прилагаемый проект Соглашения о займе (Кредит в поддержку программы развития) между Республикой Казахстан и Международным Банком Реконструкции и Развития.</w:t>
      </w:r>
      <w:r>
        <w:br/>
      </w:r>
      <w:r>
        <w:rPr>
          <w:rFonts w:ascii="Times New Roman"/>
          <w:b w:val="false"/>
          <w:i w:val="false"/>
          <w:color w:val="000000"/>
          <w:sz w:val="28"/>
        </w:rPr>
        <w:t>
      2. Уполномочить Министра финансов Республики Казахстан Жамишева Болата Бидахметовича подписать от имени Республики Казахстан Соглашение о займе (Кредит в поддержку программы развития) между Республикой Казахстан и Международным Банком Реконструкции и Развития.</w:t>
      </w:r>
      <w:r>
        <w:br/>
      </w:r>
      <w:r>
        <w:rPr>
          <w:rFonts w:ascii="Times New Roman"/>
          <w:b w:val="false"/>
          <w:i w:val="false"/>
          <w:color w:val="000000"/>
          <w:sz w:val="28"/>
        </w:rPr>
        <w:t>
      3.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мая 2010 года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 О ЗАЙМЕ</w:t>
      </w:r>
    </w:p>
    <w:p>
      <w:pPr>
        <w:spacing w:after="0"/>
        <w:ind w:left="0"/>
        <w:jc w:val="both"/>
      </w:pPr>
      <w:r>
        <w:rPr>
          <w:rFonts w:ascii="Times New Roman"/>
          <w:b w:val="false"/>
          <w:i w:val="false"/>
          <w:color w:val="000000"/>
          <w:sz w:val="28"/>
        </w:rPr>
        <w:t>      Соглашение от ___________ 201_ года, заключенное между Республикой Казахстан ("Заемщик") и Международным Банком Реконструкции и Развития ("Банк"), с целью обеспечения финансирования в поддержку Программы развития (как определено в Дополнении к данному Соглашению). Банк принял решение о данном финансировании на основе, среди прочего, (а) действий, предпринятых Заемщиком в рамках Программы и изложенных в Разделе I Приложения 1 к данному Соглашению, и (б) поддержания Заемщиком надлежащей макроэкономической политики. Настоящим Заемщик и Банк договариваются о нижеследующем:</w:t>
      </w:r>
    </w:p>
    <w:p>
      <w:pPr>
        <w:spacing w:after="0"/>
        <w:ind w:left="0"/>
        <w:jc w:val="left"/>
      </w:pPr>
      <w:r>
        <w:rPr>
          <w:rFonts w:ascii="Times New Roman"/>
          <w:b/>
          <w:i w:val="false"/>
          <w:color w:val="000000"/>
        </w:rPr>
        <w:t xml:space="preserve"> СТАТЬЯ 1 - ОБЩИЕ УСЛОВИЯ; ОПРЕДЕЛЕНИЯ</w:t>
      </w:r>
    </w:p>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1.02. Если из контекста не следует иного, используемые в настоящем Соглашении термины, начинающиеся с заглавных букв, имеют значения, закрепленные за ними в Общих условиях или в Дополнении к настоящему Соглашению.</w:t>
      </w:r>
    </w:p>
    <w:p>
      <w:pPr>
        <w:spacing w:after="0"/>
        <w:ind w:left="0"/>
        <w:jc w:val="left"/>
      </w:pPr>
      <w:r>
        <w:rPr>
          <w:rFonts w:ascii="Times New Roman"/>
          <w:b/>
          <w:i w:val="false"/>
          <w:color w:val="000000"/>
        </w:rPr>
        <w:t xml:space="preserve"> СТАТЬЯ 2 - ЗАЕМ</w:t>
      </w:r>
    </w:p>
    <w:p>
      <w:pPr>
        <w:spacing w:after="0"/>
        <w:ind w:left="0"/>
        <w:jc w:val="both"/>
      </w:pPr>
      <w:r>
        <w:rPr>
          <w:rFonts w:ascii="Times New Roman"/>
          <w:b w:val="false"/>
          <w:i w:val="false"/>
          <w:color w:val="000000"/>
          <w:sz w:val="28"/>
        </w:rPr>
        <w:t>      2.01. Банк согласен предоставить Заемщику сумму, равную одному миллиарду долларов США ($ 1 000 000 000), на срок и условиях, изложенных или указанных в настоящем Соглашении, и данная сумма может периодически конвертироваться посредством Конверсии валюты в соответствии с положениями пункта 2.07 настоящего Соглашения ("Заем").</w:t>
      </w:r>
      <w:r>
        <w:br/>
      </w:r>
      <w:r>
        <w:rPr>
          <w:rFonts w:ascii="Times New Roman"/>
          <w:b w:val="false"/>
          <w:i w:val="false"/>
          <w:color w:val="000000"/>
          <w:sz w:val="28"/>
        </w:rPr>
        <w:t>
      2.02. Заемщик вправе снимать средства Займа в поддержку Программы в соответствии с Разделом II Приложения 1 к настоящему Соглашению.</w:t>
      </w:r>
      <w:r>
        <w:br/>
      </w:r>
      <w:r>
        <w:rPr>
          <w:rFonts w:ascii="Times New Roman"/>
          <w:b w:val="false"/>
          <w:i w:val="false"/>
          <w:color w:val="000000"/>
          <w:sz w:val="28"/>
        </w:rPr>
        <w:t>
      2.03. Единовременная комиссия, подлежащая уплате Заемщиком, составляет одну четвертую одного процента (0.25%) от суммы Займа. Заемщик уплачивает Единовременную комиссию не позднее шестидесяти дней после Даты вступления в силу.</w:t>
      </w:r>
      <w:r>
        <w:br/>
      </w:r>
      <w:r>
        <w:rPr>
          <w:rFonts w:ascii="Times New Roman"/>
          <w:b w:val="false"/>
          <w:i w:val="false"/>
          <w:color w:val="000000"/>
          <w:sz w:val="28"/>
        </w:rPr>
        <w:t>
      2.04. Вознаграждение, подлежащее уплате Заемщиком за каждый Процентный период, будет начисляться по ставке, равной ставке ЛИБОР для Валюты Займа плюс Переменный спрэд; при условии, что, при Конверсии всей или любой части основной суммы Займа, размер вознаграждения, подлежащего выплате Заемщиком во время Периода конверсии по этой сумме, должен быть определен в соответствии с положениями Статьи 4 Общих условий. Несмотря на вышесказанное, в случае если любая из частей Снятого непогашенного остатка Займа остается невыплаченной своевременно и не выплачивается в течение тридцати дней, то размер вознаграждения, подлежащего выплате Заемщиком, должен в таком случае рассчитываться в соответствии с положениями Раздела 3.02 (d) Общих условий.</w:t>
      </w:r>
      <w:r>
        <w:br/>
      </w:r>
      <w:r>
        <w:rPr>
          <w:rFonts w:ascii="Times New Roman"/>
          <w:b w:val="false"/>
          <w:i w:val="false"/>
          <w:color w:val="000000"/>
          <w:sz w:val="28"/>
        </w:rPr>
        <w:t>
      2.05. Датами платежей являются 15 марта и 15 сентября каждого года.</w:t>
      </w:r>
      <w:r>
        <w:br/>
      </w:r>
      <w:r>
        <w:rPr>
          <w:rFonts w:ascii="Times New Roman"/>
          <w:b w:val="false"/>
          <w:i w:val="false"/>
          <w:color w:val="000000"/>
          <w:sz w:val="28"/>
        </w:rPr>
        <w:t>
      2.06. Основная сумма Займа будет погашаться в соответствии с графиком погашения, приведенным в Приложении 2 к настоящему Соглашению.</w:t>
      </w:r>
      <w:r>
        <w:br/>
      </w:r>
      <w:r>
        <w:rPr>
          <w:rFonts w:ascii="Times New Roman"/>
          <w:b w:val="false"/>
          <w:i w:val="false"/>
          <w:color w:val="000000"/>
          <w:sz w:val="28"/>
        </w:rPr>
        <w:t>
      2.07. (а) Заемщик имеет право в любое время запросить произвести любую из следующих Конверсии условий Займа с тем, чтобы обеспечить рациональное управление долгом: (i) изменение Валюты Займа всей или любой части основной суммы Займа, как снятой, так и неснятой, на Одобренную валюту; (ii) изменение базиса процентной ставки, применимого ко всей или к любой части снятой и непогашенной основной суммы Займа, с Переменной ставки на Фиксированную ставку, и наоборот; и (iii) введение пределов для Переменной ставки, применимой ко всей или любой части снятой и непогашенной основной суммы Займа, посредством установления верхнего или нижнего пределов для Переменной ставки.</w:t>
      </w:r>
      <w:r>
        <w:br/>
      </w:r>
      <w:r>
        <w:rPr>
          <w:rFonts w:ascii="Times New Roman"/>
          <w:b w:val="false"/>
          <w:i w:val="false"/>
          <w:color w:val="000000"/>
          <w:sz w:val="28"/>
        </w:rPr>
        <w:t>
      (б) Любое изменение, запрошенное в соответствии с подпунктом (а) настоящего Раздела и одобренное Банком, будет считаться "Конверсией", как определено в Общих условиях, и вступит в силу в соответствии с положениями Статьи 4 Общих условий и Руководства по конверсии.</w:t>
      </w:r>
      <w:r>
        <w:br/>
      </w:r>
      <w:r>
        <w:rPr>
          <w:rFonts w:ascii="Times New Roman"/>
          <w:b w:val="false"/>
          <w:i w:val="false"/>
          <w:color w:val="000000"/>
          <w:sz w:val="28"/>
        </w:rPr>
        <w:t xml:space="preserve">
      2.08. Без ограничений в отношении положений Раздела 5.08 Общих условий (перенумерованных согласно пункту 4 Раздела II Дополнений к настоящему Соглашению и имеющих отношение к </w:t>
      </w:r>
      <w:r>
        <w:rPr>
          <w:rFonts w:ascii="Times New Roman"/>
          <w:b w:val="false"/>
          <w:i/>
          <w:color w:val="000000"/>
          <w:sz w:val="28"/>
        </w:rPr>
        <w:t>Взаимодействиям и консультациям</w:t>
      </w:r>
      <w:r>
        <w:rPr>
          <w:rFonts w:ascii="Times New Roman"/>
          <w:b w:val="false"/>
          <w:i w:val="false"/>
          <w:color w:val="000000"/>
          <w:sz w:val="28"/>
        </w:rPr>
        <w:t>), Банк может обоснованно периодически требовать информацию относительно положений настоящей Статьи 2, а Заемщик должен безотлагательно предоставить Банку запрашиваемую информацию.</w:t>
      </w:r>
    </w:p>
    <w:p>
      <w:pPr>
        <w:spacing w:after="0"/>
        <w:ind w:left="0"/>
        <w:jc w:val="left"/>
      </w:pPr>
      <w:r>
        <w:rPr>
          <w:rFonts w:ascii="Times New Roman"/>
          <w:b/>
          <w:i w:val="false"/>
          <w:color w:val="000000"/>
        </w:rPr>
        <w:t xml:space="preserve"> СТАТЬЯ 3 - ПРОГРАММА</w:t>
      </w:r>
    </w:p>
    <w:p>
      <w:pPr>
        <w:spacing w:after="0"/>
        <w:ind w:left="0"/>
        <w:jc w:val="both"/>
      </w:pPr>
      <w:r>
        <w:rPr>
          <w:rFonts w:ascii="Times New Roman"/>
          <w:b w:val="false"/>
          <w:i w:val="false"/>
          <w:color w:val="000000"/>
          <w:sz w:val="28"/>
        </w:rPr>
        <w:t>      3.01. Заемщик заявляет о своей приверженности Программе и ее реализации. С этой целью и в соответствии с Разделом 5.08 Общих условий:</w:t>
      </w:r>
      <w:r>
        <w:br/>
      </w:r>
      <w:r>
        <w:rPr>
          <w:rFonts w:ascii="Times New Roman"/>
          <w:b w:val="false"/>
          <w:i w:val="false"/>
          <w:color w:val="000000"/>
          <w:sz w:val="28"/>
        </w:rPr>
        <w:t>
      (а) Заемщик и Банк должны время от времени по запросу той или другой стороны обмениваться мнениями по макроэкономической политике Заемщика и прогрессу, достигнутому в ходе реализации Программы;</w:t>
      </w:r>
      <w:r>
        <w:br/>
      </w:r>
      <w:r>
        <w:rPr>
          <w:rFonts w:ascii="Times New Roman"/>
          <w:b w:val="false"/>
          <w:i w:val="false"/>
          <w:color w:val="000000"/>
          <w:sz w:val="28"/>
        </w:rPr>
        <w:t>
      (б) до каждого такого обмена мнениями Заемщик должен предоставить Банку на рассмотрение и комментарии отчет о достигнутых результатах в ходе реализации Программы с такой степенью детализации, которые Банк может обоснованно потребовать; и</w:t>
      </w:r>
      <w:r>
        <w:br/>
      </w:r>
      <w:r>
        <w:rPr>
          <w:rFonts w:ascii="Times New Roman"/>
          <w:b w:val="false"/>
          <w:i w:val="false"/>
          <w:color w:val="000000"/>
          <w:sz w:val="28"/>
        </w:rPr>
        <w:t>
      (в) без ограничения положений пунктов (а) и (б) настоящего Раздела, Заемщик должен безотлагательно проинформировать Банк о любых ситуациях, которые могут существенно воспрепятствовать фактическому достижению целей Программы или осуществлению любых действий, предпринимаемых в рамках Программы, включая любые действия, определенные в Разделе I Приложения 1 к настоящему Соглашению.</w:t>
      </w:r>
    </w:p>
    <w:p>
      <w:pPr>
        <w:spacing w:after="0"/>
        <w:ind w:left="0"/>
        <w:jc w:val="left"/>
      </w:pPr>
      <w:r>
        <w:rPr>
          <w:rFonts w:ascii="Times New Roman"/>
          <w:b/>
          <w:i w:val="false"/>
          <w:color w:val="000000"/>
        </w:rPr>
        <w:t xml:space="preserve"> СТАТЬЯ 4 - ЮРИДИЧЕСКИЕ МЕРЫ БАНКА</w:t>
      </w:r>
    </w:p>
    <w:p>
      <w:pPr>
        <w:spacing w:after="0"/>
        <w:ind w:left="0"/>
        <w:jc w:val="both"/>
      </w:pPr>
      <w:r>
        <w:rPr>
          <w:rFonts w:ascii="Times New Roman"/>
          <w:b w:val="false"/>
          <w:i w:val="false"/>
          <w:color w:val="000000"/>
          <w:sz w:val="28"/>
        </w:rPr>
        <w:t>      4.01. Дополнительный случай, влекущий временную приостановку, включает следующее: возникновение ситуации, в результате которой практически невозможна реализация Программы или ее значительной части.</w:t>
      </w:r>
      <w:r>
        <w:br/>
      </w:r>
      <w:r>
        <w:rPr>
          <w:rFonts w:ascii="Times New Roman"/>
          <w:b w:val="false"/>
          <w:i w:val="false"/>
          <w:color w:val="000000"/>
          <w:sz w:val="28"/>
        </w:rPr>
        <w:t>
      4.02. Дополнительный случай, влекущий ускорение приостановки, включает следующее: случай, описанный в пункте 4.01 настоящего Соглашения, наступает и продолжается в течение периода в 30 дней после направленного Банком Заемщику уведомления о наступлении такого случая.</w:t>
      </w:r>
    </w:p>
    <w:p>
      <w:pPr>
        <w:spacing w:after="0"/>
        <w:ind w:left="0"/>
        <w:jc w:val="left"/>
      </w:pPr>
      <w:r>
        <w:rPr>
          <w:rFonts w:ascii="Times New Roman"/>
          <w:b/>
          <w:i w:val="false"/>
          <w:color w:val="000000"/>
        </w:rPr>
        <w:t xml:space="preserve"> СТАТЬЯ 5 - ВСТУПЛЕНИЕ В СИЛУ; РАСТОРЖЕНИЕ</w:t>
      </w:r>
    </w:p>
    <w:p>
      <w:pPr>
        <w:spacing w:after="0"/>
        <w:ind w:left="0"/>
        <w:jc w:val="both"/>
      </w:pPr>
      <w:r>
        <w:rPr>
          <w:rFonts w:ascii="Times New Roman"/>
          <w:b w:val="false"/>
          <w:i w:val="false"/>
          <w:color w:val="000000"/>
          <w:sz w:val="28"/>
        </w:rPr>
        <w:t>      5.01. Дополнительным условием вступления в силу заключается в следующем: Банк удовлетворен прогрессом, достигнутом Заемщиком в ходе реализации Программы, и согласованностью макроэкономической политики Заемщика.</w:t>
      </w:r>
      <w:r>
        <w:br/>
      </w:r>
      <w:r>
        <w:rPr>
          <w:rFonts w:ascii="Times New Roman"/>
          <w:b w:val="false"/>
          <w:i w:val="false"/>
          <w:color w:val="000000"/>
          <w:sz w:val="28"/>
        </w:rPr>
        <w:t>
      5.02. Последним сроком вступления в силу является дата, наступающая по истечении ста восьмидесяти (180) дней после даты подписания настоящего Соглашения.</w:t>
      </w:r>
    </w:p>
    <w:p>
      <w:pPr>
        <w:spacing w:after="0"/>
        <w:ind w:left="0"/>
        <w:jc w:val="left"/>
      </w:pPr>
      <w:r>
        <w:rPr>
          <w:rFonts w:ascii="Times New Roman"/>
          <w:b/>
          <w:i w:val="false"/>
          <w:color w:val="000000"/>
        </w:rPr>
        <w:t xml:space="preserve"> СТАТЬЯ 6 - ПРЕДСТАВИТЕЛИ; АДРЕСА</w:t>
      </w:r>
    </w:p>
    <w:p>
      <w:pPr>
        <w:spacing w:after="0"/>
        <w:ind w:left="0"/>
        <w:jc w:val="both"/>
      </w:pPr>
      <w:r>
        <w:rPr>
          <w:rFonts w:ascii="Times New Roman"/>
          <w:b w:val="false"/>
          <w:i w:val="false"/>
          <w:color w:val="000000"/>
          <w:sz w:val="28"/>
        </w:rPr>
        <w:t>      6.01. Представителем Заемщика является Министр финансов.</w:t>
      </w:r>
      <w:r>
        <w:br/>
      </w:r>
      <w:r>
        <w:rPr>
          <w:rFonts w:ascii="Times New Roman"/>
          <w:b w:val="false"/>
          <w:i w:val="false"/>
          <w:color w:val="000000"/>
          <w:sz w:val="28"/>
        </w:rPr>
        <w:t>
      6.02. Адрес Заемщика:</w:t>
      </w:r>
    </w:p>
    <w:p>
      <w:pPr>
        <w:spacing w:after="0"/>
        <w:ind w:left="0"/>
        <w:jc w:val="both"/>
      </w:pPr>
      <w:r>
        <w:rPr>
          <w:rFonts w:ascii="Times New Roman"/>
          <w:b w:val="false"/>
          <w:i w:val="false"/>
          <w:color w:val="000000"/>
          <w:sz w:val="28"/>
        </w:rPr>
        <w:t>            Министерство финансов</w:t>
      </w:r>
      <w:r>
        <w:br/>
      </w:r>
      <w:r>
        <w:rPr>
          <w:rFonts w:ascii="Times New Roman"/>
          <w:b w:val="false"/>
          <w:i w:val="false"/>
          <w:color w:val="000000"/>
          <w:sz w:val="28"/>
        </w:rPr>
        <w:t>
            Проспект Победы, 11</w:t>
      </w:r>
      <w:r>
        <w:br/>
      </w:r>
      <w:r>
        <w:rPr>
          <w:rFonts w:ascii="Times New Roman"/>
          <w:b w:val="false"/>
          <w:i w:val="false"/>
          <w:color w:val="000000"/>
          <w:sz w:val="28"/>
        </w:rPr>
        <w:t>
            Астана, 010000</w:t>
      </w:r>
      <w:r>
        <w:br/>
      </w:r>
      <w:r>
        <w:rPr>
          <w:rFonts w:ascii="Times New Roman"/>
          <w:b w:val="false"/>
          <w:i w:val="false"/>
          <w:color w:val="000000"/>
          <w:sz w:val="28"/>
        </w:rPr>
        <w:t>
            Республика Казахстан</w:t>
      </w:r>
    </w:p>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p>
      <w:pPr>
        <w:spacing w:after="0"/>
        <w:ind w:left="0"/>
        <w:jc w:val="both"/>
      </w:pPr>
      <w:r>
        <w:rPr>
          <w:rFonts w:ascii="Times New Roman"/>
          <w:b w:val="false"/>
          <w:i w:val="false"/>
          <w:color w:val="000000"/>
          <w:sz w:val="28"/>
        </w:rPr>
        <w:t>      6.03. Адрес Банка:</w:t>
      </w:r>
    </w:p>
    <w:p>
      <w:pPr>
        <w:spacing w:after="0"/>
        <w:ind w:left="0"/>
        <w:jc w:val="both"/>
      </w:pP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248423(MCI) or      1-202-477-6391</w:t>
      </w:r>
      <w:r>
        <w:br/>
      </w:r>
      <w:r>
        <w:rPr>
          <w:rFonts w:ascii="Times New Roman"/>
          <w:b w:val="false"/>
          <w:i w:val="false"/>
          <w:color w:val="000000"/>
          <w:sz w:val="28"/>
        </w:rPr>
        <w:t>
            Washington, D.C.      64145(MCI)</w:t>
      </w:r>
    </w:p>
    <w:p>
      <w:pPr>
        <w:spacing w:after="0"/>
        <w:ind w:left="0"/>
        <w:jc w:val="both"/>
      </w:pPr>
      <w:r>
        <w:rPr>
          <w:rFonts w:ascii="Times New Roman"/>
          <w:b w:val="false"/>
          <w:i w:val="false"/>
          <w:color w:val="000000"/>
          <w:sz w:val="28"/>
        </w:rPr>
        <w:t>      СОГЛАСОВАНО _______, ___________, в день и год, указанные выше.</w:t>
      </w:r>
    </w:p>
    <w:p>
      <w:pPr>
        <w:spacing w:after="0"/>
        <w:ind w:left="0"/>
        <w:jc w:val="both"/>
      </w:pPr>
      <w:r>
        <w:rPr>
          <w:rFonts w:ascii="Times New Roman"/>
          <w:b w:val="false"/>
          <w:i w:val="false"/>
          <w:color w:val="000000"/>
          <w:sz w:val="28"/>
        </w:rPr>
        <w:t>      За Республику Казахстан</w:t>
      </w:r>
    </w:p>
    <w:p>
      <w:pPr>
        <w:spacing w:after="0"/>
        <w:ind w:left="0"/>
        <w:jc w:val="both"/>
      </w:pPr>
      <w:r>
        <w:rPr>
          <w:rFonts w:ascii="Times New Roman"/>
          <w:b w:val="false"/>
          <w:i w:val="false"/>
          <w:color w:val="000000"/>
          <w:sz w:val="28"/>
        </w:rPr>
        <w:t>                  Уполномоченный представитель</w:t>
      </w:r>
    </w:p>
    <w:p>
      <w:pPr>
        <w:spacing w:after="0"/>
        <w:ind w:left="0"/>
        <w:jc w:val="both"/>
      </w:pPr>
      <w:r>
        <w:rPr>
          <w:rFonts w:ascii="Times New Roman"/>
          <w:b w:val="false"/>
          <w:i w:val="false"/>
          <w:color w:val="000000"/>
          <w:sz w:val="28"/>
        </w:rPr>
        <w:t>      За Международным Банком Реконструкции и Развития</w:t>
      </w:r>
    </w:p>
    <w:p>
      <w:pPr>
        <w:spacing w:after="0"/>
        <w:ind w:left="0"/>
        <w:jc w:val="both"/>
      </w:pPr>
      <w:r>
        <w:rPr>
          <w:rFonts w:ascii="Times New Roman"/>
          <w:b w:val="false"/>
          <w:i w:val="false"/>
          <w:color w:val="000000"/>
          <w:sz w:val="28"/>
        </w:rPr>
        <w:t>                  Уполномоченный представитель</w:t>
      </w:r>
    </w:p>
    <w:p>
      <w:pPr>
        <w:spacing w:after="0"/>
        <w:ind w:left="0"/>
        <w:jc w:val="left"/>
      </w:pPr>
      <w:r>
        <w:rPr>
          <w:rFonts w:ascii="Times New Roman"/>
          <w:b/>
          <w:i w:val="false"/>
          <w:color w:val="000000"/>
        </w:rPr>
        <w:t xml:space="preserve"> ПРИЛОЖЕНИЕ 1 Действия Программы; Доступность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 </w:t>
      </w:r>
      <w:r>
        <w:rPr>
          <w:rFonts w:ascii="Times New Roman"/>
          <w:b w:val="false"/>
          <w:i w:val="false"/>
          <w:color w:val="000000"/>
          <w:sz w:val="28"/>
          <w:u w:val="single"/>
        </w:rPr>
        <w:t>Действия, предпринятые в рамках Программы</w:t>
      </w:r>
      <w:r>
        <w:br/>
      </w:r>
      <w:r>
        <w:rPr>
          <w:rFonts w:ascii="Times New Roman"/>
          <w:b w:val="false"/>
          <w:i w:val="false"/>
          <w:color w:val="000000"/>
          <w:sz w:val="28"/>
        </w:rPr>
        <w:t>
      Действия, предпринятые Заемщиком в рамках Программы, включают следующее:</w:t>
      </w:r>
      <w:r>
        <w:br/>
      </w:r>
      <w:r>
        <w:rPr>
          <w:rFonts w:ascii="Times New Roman"/>
          <w:b w:val="false"/>
          <w:i w:val="false"/>
          <w:color w:val="000000"/>
          <w:sz w:val="28"/>
        </w:rPr>
        <w:t xml:space="preserve">
      1. Издан </w:t>
      </w:r>
      <w:r>
        <w:rPr>
          <w:rFonts w:ascii="Times New Roman"/>
          <w:b w:val="false"/>
          <w:i w:val="false"/>
          <w:color w:val="000000"/>
          <w:sz w:val="28"/>
        </w:rPr>
        <w:t>Указ</w:t>
      </w:r>
      <w:r>
        <w:rPr>
          <w:rFonts w:ascii="Times New Roman"/>
          <w:b w:val="false"/>
          <w:i w:val="false"/>
          <w:color w:val="000000"/>
          <w:sz w:val="28"/>
        </w:rPr>
        <w:t xml:space="preserve"> Президента РК № 962 от 2 апреля 2010 года, который устанавливает ограничение объема ежегодного гарантированного трансферта из средств Национального фонда в республиканский бюджет в размере 8 миллиардов долларов США и обязует размещение активов Национального фонда исключительно в финансовые инструменты, обращающиеся на зарубежных финансовых рынках.</w:t>
      </w:r>
      <w:r>
        <w:br/>
      </w:r>
      <w:r>
        <w:rPr>
          <w:rFonts w:ascii="Times New Roman"/>
          <w:b w:val="false"/>
          <w:i w:val="false"/>
          <w:color w:val="000000"/>
          <w:sz w:val="28"/>
        </w:rPr>
        <w:t>
      2. Заемщик принял Закон РК № 95-VI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(с изменениями и дополнениями на 2 апреля 2010 года), который с принятием соответствующих нормативных актов вводит в действие: (i) разработку и одобрение трехлетних бюджетов на скользящей основе на республиканском и местном уровнях на основании стратегических планов государственных органов; (ii) делегирование полномочий администраторам бюджетных программ на республиканском и местном уровнях по перераспределению средств между подпрограммами в ходе исполнения бюджета; (iii) создание служб внутреннего контроля центральных государственных органов и исполнительных органов, финансируемых из областного бюджета, бюджета города республиканского значения и столицы.</w:t>
      </w:r>
      <w:r>
        <w:br/>
      </w:r>
      <w:r>
        <w:rPr>
          <w:rFonts w:ascii="Times New Roman"/>
          <w:b w:val="false"/>
          <w:i w:val="false"/>
          <w:color w:val="000000"/>
          <w:sz w:val="28"/>
        </w:rPr>
        <w:t xml:space="preserve">
      3. Заемщик принял </w:t>
      </w:r>
      <w:r>
        <w:rPr>
          <w:rFonts w:ascii="Times New Roman"/>
          <w:b w:val="false"/>
          <w:i w:val="false"/>
          <w:color w:val="000000"/>
          <w:sz w:val="28"/>
        </w:rPr>
        <w:t>Закон</w:t>
      </w:r>
      <w:r>
        <w:rPr>
          <w:rFonts w:ascii="Times New Roman"/>
          <w:b w:val="false"/>
          <w:i w:val="false"/>
          <w:color w:val="000000"/>
          <w:sz w:val="28"/>
        </w:rPr>
        <w:t xml:space="preserve"> РК № 219-IV "О республиканском бюджете на 2010-2012 годы" от 7 декабря 2009 года, пересмотренный 29 марта 2010 года; </w:t>
      </w:r>
      <w:r>
        <w:rPr>
          <w:rFonts w:ascii="Times New Roman"/>
          <w:b w:val="false"/>
          <w:i/>
          <w:color w:val="000000"/>
          <w:sz w:val="28"/>
        </w:rPr>
        <w:t>в числе прочего</w:t>
      </w:r>
      <w:r>
        <w:rPr>
          <w:rFonts w:ascii="Times New Roman"/>
          <w:b w:val="false"/>
          <w:i w:val="false"/>
          <w:color w:val="000000"/>
          <w:sz w:val="28"/>
        </w:rPr>
        <w:t>, он предусматривает сокращение доли неприоритетных административных расходов и расходов на приобретение финансовых активов национальных компаний в пользу увеличения доли социальных расходов в расходах консолидированного бюджета.</w:t>
      </w:r>
      <w:r>
        <w:br/>
      </w:r>
      <w:r>
        <w:rPr>
          <w:rFonts w:ascii="Times New Roman"/>
          <w:b w:val="false"/>
          <w:i w:val="false"/>
          <w:color w:val="000000"/>
          <w:sz w:val="28"/>
        </w:rPr>
        <w:t xml:space="preserve">
      4. В соответствии с </w:t>
      </w:r>
      <w:r>
        <w:rPr>
          <w:rFonts w:ascii="Times New Roman"/>
          <w:b w:val="false"/>
          <w:i w:val="false"/>
          <w:color w:val="000000"/>
          <w:sz w:val="28"/>
        </w:rPr>
        <w:t>Законом</w:t>
      </w:r>
      <w:r>
        <w:rPr>
          <w:rFonts w:ascii="Times New Roman"/>
          <w:b w:val="false"/>
          <w:i w:val="false"/>
          <w:color w:val="000000"/>
          <w:sz w:val="28"/>
        </w:rPr>
        <w:t xml:space="preserve"> РК № 185-IV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от 11 июля 2009 года, БТА банк и Альянс банк подписали Основные коммерческие условия (реструктуризации) с комитетом кредиторов БТА банка и комитетом кредиторов Альянс банка, соответственно, которые, </w:t>
      </w:r>
      <w:r>
        <w:rPr>
          <w:rFonts w:ascii="Times New Roman"/>
          <w:b w:val="false"/>
          <w:i/>
          <w:color w:val="000000"/>
          <w:sz w:val="28"/>
        </w:rPr>
        <w:t>в числе прочего</w:t>
      </w:r>
      <w:r>
        <w:rPr>
          <w:rFonts w:ascii="Times New Roman"/>
          <w:b w:val="false"/>
          <w:i w:val="false"/>
          <w:color w:val="000000"/>
          <w:sz w:val="28"/>
        </w:rPr>
        <w:t>, включают план реструктуризации, направленный на обеспечение жизнеспособности данных банков и предусматривающий списание большей части внешних долгов.</w:t>
      </w:r>
      <w:r>
        <w:br/>
      </w:r>
      <w:r>
        <w:rPr>
          <w:rFonts w:ascii="Times New Roman"/>
          <w:b w:val="false"/>
          <w:i w:val="false"/>
          <w:color w:val="000000"/>
          <w:sz w:val="28"/>
        </w:rPr>
        <w:t>
      5. Заемщик принял РК № 185-IV "О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 бухгалтерском учете и финансовой отчетности финансовых организаций, банковской деятельности и деятельности Национального Банка Республики Казахстан" от 11 июля 2009 года; он предусматривает усиление системы урегулирования проблемных банков, в том числе через создание стабилизационных банков, соглашения о покупке и принятии обязательств, а также проведение реструктуризации специализированными финансовыми судами.</w:t>
      </w:r>
      <w:r>
        <w:br/>
      </w:r>
      <w:r>
        <w:rPr>
          <w:rFonts w:ascii="Times New Roman"/>
          <w:b w:val="false"/>
          <w:i w:val="false"/>
          <w:color w:val="000000"/>
          <w:sz w:val="28"/>
        </w:rPr>
        <w:t xml:space="preserve">
      6. Заемщик принял </w:t>
      </w:r>
      <w:r>
        <w:rPr>
          <w:rFonts w:ascii="Times New Roman"/>
          <w:b w:val="false"/>
          <w:i w:val="false"/>
          <w:color w:val="000000"/>
          <w:sz w:val="28"/>
        </w:rPr>
        <w:t>Закон</w:t>
      </w:r>
      <w:r>
        <w:rPr>
          <w:rFonts w:ascii="Times New Roman"/>
          <w:b w:val="false"/>
          <w:i w:val="false"/>
          <w:color w:val="000000"/>
          <w:sz w:val="28"/>
        </w:rPr>
        <w:t xml:space="preserve"> РК № 72-IV "О внесении изменений и дополнений в некоторые законодательные акты Республики Казахстан по вопросам устойчивости финансовой системы" от 23 октября 2008 года; он предусматривает создание системы раннего реагирования, с помощью которой АФН может (i) отслеживать показатели эффективности банка, и, (ii) в случае ухудшения таких показателей, может потребовать исполнение плана мероприятий, предусматривающего меры раннего реагирования, и (iii) произвести вмешательство в деятельность банка даже при отсутствии очевидных нарушений пруденциальных норм.</w:t>
      </w:r>
      <w:r>
        <w:br/>
      </w:r>
      <w:r>
        <w:rPr>
          <w:rFonts w:ascii="Times New Roman"/>
          <w:b w:val="false"/>
          <w:i w:val="false"/>
          <w:color w:val="000000"/>
          <w:sz w:val="28"/>
        </w:rPr>
        <w:t xml:space="preserve">
      7. Агентство РК по регулированию и надзору финансового рынка и финансовых организаций издало </w:t>
      </w:r>
      <w:r>
        <w:rPr>
          <w:rFonts w:ascii="Times New Roman"/>
          <w:b w:val="false"/>
          <w:i w:val="false"/>
          <w:color w:val="000000"/>
          <w:sz w:val="28"/>
        </w:rPr>
        <w:t>Постановление</w:t>
      </w:r>
      <w:r>
        <w:rPr>
          <w:rFonts w:ascii="Times New Roman"/>
          <w:b w:val="false"/>
          <w:i w:val="false"/>
          <w:color w:val="000000"/>
          <w:sz w:val="28"/>
        </w:rPr>
        <w:t xml:space="preserve"> Правления № 358, от 30 сентября 2005 года, с изменениями и дополнениями на 30 ноября 2009 года, которые, </w:t>
      </w:r>
      <w:r>
        <w:rPr>
          <w:rFonts w:ascii="Times New Roman"/>
          <w:b w:val="false"/>
          <w:i/>
          <w:color w:val="000000"/>
          <w:sz w:val="28"/>
        </w:rPr>
        <w:t>в числе прочего</w:t>
      </w:r>
      <w:r>
        <w:rPr>
          <w:rFonts w:ascii="Times New Roman"/>
          <w:b w:val="false"/>
          <w:i w:val="false"/>
          <w:color w:val="000000"/>
          <w:sz w:val="28"/>
        </w:rPr>
        <w:t>, предусматривают: (i) увеличение требований к достаточности собственного капитала коммерческих банков, начиная с 1 июля 2011 года; и (ii) ограничение на размер совокупных обязательств коммерческого банка перед нерезидентами по отношению к его собственному капиталу.</w:t>
      </w:r>
    </w:p>
    <w:p>
      <w:pPr>
        <w:spacing w:after="0"/>
        <w:ind w:left="0"/>
        <w:jc w:val="both"/>
      </w:pPr>
      <w:r>
        <w:rPr>
          <w:rFonts w:ascii="Times New Roman"/>
          <w:b w:val="false"/>
          <w:i w:val="false"/>
          <w:color w:val="000000"/>
          <w:sz w:val="28"/>
        </w:rPr>
        <w:t>      </w:t>
      </w:r>
      <w:r>
        <w:rPr>
          <w:rFonts w:ascii="Times New Roman"/>
          <w:b/>
          <w:i w:val="false"/>
          <w:color w:val="000000"/>
          <w:sz w:val="28"/>
        </w:rPr>
        <w:t xml:space="preserve">Раздел II. </w:t>
      </w:r>
      <w:r>
        <w:rPr>
          <w:rFonts w:ascii="Times New Roman"/>
          <w:b w:val="false"/>
          <w:i w:val="false"/>
          <w:color w:val="000000"/>
          <w:sz w:val="28"/>
          <w:u w:val="single"/>
        </w:rPr>
        <w:t>Доступность средств Займа</w:t>
      </w:r>
    </w:p>
    <w:p>
      <w:pPr>
        <w:spacing w:after="0"/>
        <w:ind w:left="0"/>
        <w:jc w:val="both"/>
      </w:pPr>
      <w:r>
        <w:rPr>
          <w:rFonts w:ascii="Times New Roman"/>
          <w:b w:val="false"/>
          <w:i w:val="false"/>
          <w:color w:val="000000"/>
          <w:sz w:val="28"/>
        </w:rPr>
        <w:t>      </w:t>
      </w:r>
      <w:r>
        <w:rPr>
          <w:rFonts w:ascii="Times New Roman"/>
          <w:b/>
          <w:i w:val="false"/>
          <w:color w:val="000000"/>
          <w:sz w:val="28"/>
        </w:rPr>
        <w:t>А. Общие положения.</w:t>
      </w:r>
      <w:r>
        <w:rPr>
          <w:rFonts w:ascii="Times New Roman"/>
          <w:b w:val="false"/>
          <w:i w:val="false"/>
          <w:color w:val="000000"/>
          <w:sz w:val="28"/>
        </w:rPr>
        <w:t xml:space="preserve"> Заемщик может снимать средства Займа в соответствии с положениями настоящего Раздела и тех дополнительных инструкций, которые укажет Банк в уведомлении Заемщику.</w:t>
      </w:r>
    </w:p>
    <w:p>
      <w:pPr>
        <w:spacing w:after="0"/>
        <w:ind w:left="0"/>
        <w:jc w:val="both"/>
      </w:pPr>
      <w:r>
        <w:rPr>
          <w:rFonts w:ascii="Times New Roman"/>
          <w:b w:val="false"/>
          <w:i w:val="false"/>
          <w:color w:val="000000"/>
          <w:sz w:val="28"/>
        </w:rPr>
        <w:t>      </w:t>
      </w:r>
      <w:r>
        <w:rPr>
          <w:rFonts w:ascii="Times New Roman"/>
          <w:b/>
          <w:i w:val="false"/>
          <w:color w:val="000000"/>
          <w:sz w:val="28"/>
        </w:rPr>
        <w:t>В. Распределение средств Займа.</w:t>
      </w:r>
      <w:r>
        <w:rPr>
          <w:rFonts w:ascii="Times New Roman"/>
          <w:b w:val="false"/>
          <w:i w:val="false"/>
          <w:color w:val="000000"/>
          <w:sz w:val="28"/>
        </w:rPr>
        <w:t xml:space="preserve"> Заем выделяется в виде Единовременного транша, из средств которого Заемщик может снимать заемные средства. Распределение сумм Займа указано в следующей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Распределение средств
</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Сумма выделенного займа</w:t>
            </w:r>
            <w:r>
              <w:br/>
            </w:r>
            <w:r>
              <w:rPr>
                <w:rFonts w:ascii="Times New Roman"/>
                <w:b/>
                <w:i w:val="false"/>
                <w:color w:val="000000"/>
                <w:sz w:val="20"/>
              </w:rPr>
              <w:t>
(выражена в долларах США)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Единовременный транш</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1 000 000 000</w:t>
            </w:r>
          </w:p>
        </w:tc>
      </w:tr>
    </w:tbl>
    <w:p>
      <w:pPr>
        <w:spacing w:after="0"/>
        <w:ind w:left="0"/>
        <w:jc w:val="both"/>
      </w:pPr>
      <w:r>
        <w:rPr>
          <w:rFonts w:ascii="Times New Roman"/>
          <w:b w:val="false"/>
          <w:i w:val="false"/>
          <w:color w:val="000000"/>
          <w:sz w:val="28"/>
        </w:rPr>
        <w:t>      </w:t>
      </w:r>
      <w:r>
        <w:rPr>
          <w:rFonts w:ascii="Times New Roman"/>
          <w:b/>
          <w:i w:val="false"/>
          <w:color w:val="000000"/>
          <w:sz w:val="28"/>
        </w:rPr>
        <w:t>С. Выплата Единовременной комиссии.</w:t>
      </w:r>
      <w:r>
        <w:rPr>
          <w:rFonts w:ascii="Times New Roman"/>
          <w:b w:val="false"/>
          <w:i w:val="false"/>
          <w:color w:val="000000"/>
          <w:sz w:val="28"/>
        </w:rPr>
        <w:t xml:space="preserve"> Заемщик не может снимать средства со счета Займа до тех пор, пока полностью не будет выплачена Единовременная комиссия.</w:t>
      </w:r>
    </w:p>
    <w:p>
      <w:pPr>
        <w:spacing w:after="0"/>
        <w:ind w:left="0"/>
        <w:jc w:val="both"/>
      </w:pPr>
      <w:r>
        <w:rPr>
          <w:rFonts w:ascii="Times New Roman"/>
          <w:b w:val="false"/>
          <w:i w:val="false"/>
          <w:color w:val="000000"/>
          <w:sz w:val="28"/>
        </w:rPr>
        <w:t>      </w:t>
      </w:r>
      <w:r>
        <w:rPr>
          <w:rFonts w:ascii="Times New Roman"/>
          <w:b/>
          <w:i w:val="false"/>
          <w:color w:val="000000"/>
          <w:sz w:val="28"/>
        </w:rPr>
        <w:t>D. Условия выделения транша.</w:t>
      </w:r>
      <w:r>
        <w:rPr>
          <w:rFonts w:ascii="Times New Roman"/>
          <w:b w:val="false"/>
          <w:i w:val="false"/>
          <w:color w:val="000000"/>
          <w:sz w:val="28"/>
        </w:rPr>
        <w:t xml:space="preserve"> Средства в виде Единовременного транша не могут быть сняты до тех пор, пока Банк не будет удовлетворен (а) Программой, реализуемой Заемщиком, и (б) согласованностью макроэкономической политики Заемщика.</w:t>
      </w:r>
    </w:p>
    <w:p>
      <w:pPr>
        <w:spacing w:after="0"/>
        <w:ind w:left="0"/>
        <w:jc w:val="both"/>
      </w:pPr>
      <w:r>
        <w:rPr>
          <w:rFonts w:ascii="Times New Roman"/>
          <w:b w:val="false"/>
          <w:i w:val="false"/>
          <w:color w:val="000000"/>
          <w:sz w:val="28"/>
        </w:rPr>
        <w:t>      </w:t>
      </w:r>
      <w:r>
        <w:rPr>
          <w:rFonts w:ascii="Times New Roman"/>
          <w:b/>
          <w:i w:val="false"/>
          <w:color w:val="000000"/>
          <w:sz w:val="28"/>
        </w:rPr>
        <w:t>E. Депонирование средств Займа.</w:t>
      </w:r>
      <w:r>
        <w:rPr>
          <w:rFonts w:ascii="Times New Roman"/>
          <w:b w:val="false"/>
          <w:i w:val="false"/>
          <w:color w:val="000000"/>
          <w:sz w:val="28"/>
        </w:rPr>
        <w:t xml:space="preserve"> За исключением случаев, когда иное согласовано с Банком:</w:t>
      </w:r>
      <w:r>
        <w:br/>
      </w:r>
      <w:r>
        <w:rPr>
          <w:rFonts w:ascii="Times New Roman"/>
          <w:b w:val="false"/>
          <w:i w:val="false"/>
          <w:color w:val="000000"/>
          <w:sz w:val="28"/>
        </w:rPr>
        <w:t>
      1. Всякое снятие средств со Счета Займа должно быть депонировано Банком на счет, указанный Заемщиком и приемлемый для Банка; и</w:t>
      </w:r>
      <w:r>
        <w:br/>
      </w:r>
      <w:r>
        <w:rPr>
          <w:rFonts w:ascii="Times New Roman"/>
          <w:b w:val="false"/>
          <w:i w:val="false"/>
          <w:color w:val="000000"/>
          <w:sz w:val="28"/>
        </w:rPr>
        <w:t>
      2. Заемщик должен обеспечить, что при каждом депонировании какой-то суммы Займа на этот счет, эквивалентная сумма будет учитываться в системе бюджетного управления Заемщика, в форме, приемлемой для Банка.</w:t>
      </w:r>
    </w:p>
    <w:p>
      <w:pPr>
        <w:spacing w:after="0"/>
        <w:ind w:left="0"/>
        <w:jc w:val="both"/>
      </w:pPr>
      <w:r>
        <w:rPr>
          <w:rFonts w:ascii="Times New Roman"/>
          <w:b w:val="false"/>
          <w:i w:val="false"/>
          <w:color w:val="000000"/>
          <w:sz w:val="28"/>
        </w:rPr>
        <w:t>      </w:t>
      </w:r>
      <w:r>
        <w:rPr>
          <w:rFonts w:ascii="Times New Roman"/>
          <w:b/>
          <w:i w:val="false"/>
          <w:color w:val="000000"/>
          <w:sz w:val="28"/>
        </w:rPr>
        <w:t>F. Неправомочные расходы.</w:t>
      </w:r>
      <w:r>
        <w:rPr>
          <w:rFonts w:ascii="Times New Roman"/>
          <w:b w:val="false"/>
          <w:i w:val="false"/>
          <w:color w:val="000000"/>
          <w:sz w:val="28"/>
        </w:rPr>
        <w:t xml:space="preserve"> Заемщик берет на себя ответственность по недопущению использования средств Займа для финансирования неправомочных расходов. Если Банк обнаружит в любое время, что средства Займа были использованы для покрытия неправомочных расходов, то незамедлительно после получения уведомления от Банка Заемщик должен возместить Банку эквивалентную сумму. Суммы, возмещенные Банку по такому требованию, будут аннулированы.</w:t>
      </w:r>
    </w:p>
    <w:p>
      <w:pPr>
        <w:spacing w:after="0"/>
        <w:ind w:left="0"/>
        <w:jc w:val="both"/>
      </w:pPr>
      <w:r>
        <w:rPr>
          <w:rFonts w:ascii="Times New Roman"/>
          <w:b w:val="false"/>
          <w:i w:val="false"/>
          <w:color w:val="000000"/>
          <w:sz w:val="28"/>
        </w:rPr>
        <w:t>      </w:t>
      </w:r>
      <w:r>
        <w:rPr>
          <w:rFonts w:ascii="Times New Roman"/>
          <w:b/>
          <w:i w:val="false"/>
          <w:color w:val="000000"/>
          <w:sz w:val="28"/>
        </w:rPr>
        <w:t>G. Дата закрытия.</w:t>
      </w:r>
      <w:r>
        <w:rPr>
          <w:rFonts w:ascii="Times New Roman"/>
          <w:b w:val="false"/>
          <w:i w:val="false"/>
          <w:color w:val="000000"/>
          <w:sz w:val="28"/>
        </w:rPr>
        <w:t xml:space="preserve"> Датой закрытия является 7 января 2011 года.</w:t>
      </w:r>
    </w:p>
    <w:p>
      <w:pPr>
        <w:spacing w:after="0"/>
        <w:ind w:left="0"/>
        <w:jc w:val="left"/>
      </w:pPr>
      <w:r>
        <w:rPr>
          <w:rFonts w:ascii="Times New Roman"/>
          <w:b/>
          <w:i w:val="false"/>
          <w:color w:val="000000"/>
        </w:rPr>
        <w:t xml:space="preserve"> ПРИЛОЖЕНИЕ 2 График погашения</w:t>
      </w:r>
    </w:p>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основной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6153"/>
      </w:tblGrid>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Дата платежа по основному долгу
</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Доля погашения</w:t>
            </w:r>
            <w:r>
              <w:br/>
            </w:r>
            <w:r>
              <w:rPr>
                <w:rFonts w:ascii="Times New Roman"/>
                <w:b/>
                <w:i w:val="false"/>
                <w:color w:val="000000"/>
                <w:sz w:val="20"/>
              </w:rPr>
              <w:t>
(в процентном выражении)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и 15 сентября каждого года,</w:t>
            </w:r>
            <w:r>
              <w:br/>
            </w:r>
            <w:r>
              <w:rPr>
                <w:rFonts w:ascii="Times New Roman"/>
                <w:b w:val="false"/>
                <w:i w:val="false"/>
                <w:color w:val="000000"/>
                <w:sz w:val="20"/>
              </w:rPr>
              <w:t>
     начиная с 15 сентября 2013 г.</w:t>
            </w:r>
            <w:r>
              <w:br/>
            </w:r>
            <w:r>
              <w:rPr>
                <w:rFonts w:ascii="Times New Roman"/>
                <w:b w:val="false"/>
                <w:i w:val="false"/>
                <w:color w:val="000000"/>
                <w:sz w:val="20"/>
              </w:rPr>
              <w:t>
     по 15 сентября 2034 г.</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w:t>
            </w:r>
          </w:p>
        </w:tc>
      </w:tr>
      <w:tr>
        <w:trPr>
          <w:trHeight w:val="3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марта 2035 г.</w:t>
            </w:r>
          </w:p>
        </w:tc>
        <w:tc>
          <w:tcPr>
            <w:tcW w:w="6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w:t>
            </w:r>
          </w:p>
        </w:tc>
      </w:tr>
    </w:tbl>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(a)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(b)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 Данная сумма, подлежащая выплате, будет корректироваться по мере необходимости, с целью вычета сумм, предусмотренных в пункте 4 настоящего Приложения, и к которым применяется Конверсия валюты.</w:t>
      </w:r>
      <w:r>
        <w:br/>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r>
        <w:br/>
      </w:r>
      <w:r>
        <w:rPr>
          <w:rFonts w:ascii="Times New Roman"/>
          <w:b w:val="false"/>
          <w:i w:val="false"/>
          <w:color w:val="000000"/>
          <w:sz w:val="28"/>
        </w:rPr>
        <w:t>
      4. Несмотря на положения пунктов 1 и 2 настоящего Приложения, при Конверсии валюты всей или любой части займа на Одобренную валюту, сумма, конвертированная таким образом на Одобренную валюту, которая подлежит погашению на любую Дату погашения основного долга, наступающую в течение Периода конверсии, должна быть определена Банком путем умножения такой суммы в валюте ее деноминации непосредственно перед конвертацией на: (i) обменный курс, который отражает суммы основного долга в Одобренной валюте, подлежащие выплате Банком в рамках Валютных хеджевых сделок, относящихся к Конверсии; или (ii) валютный компонент Экранной ставки, если Банк примет такое решение в соответствии с Руководством по конверсии.</w:t>
      </w:r>
    </w:p>
    <w:p>
      <w:pPr>
        <w:spacing w:after="0"/>
        <w:ind w:left="0"/>
        <w:jc w:val="left"/>
      </w:pPr>
      <w:r>
        <w:rPr>
          <w:rFonts w:ascii="Times New Roman"/>
          <w:b/>
          <w:i w:val="false"/>
          <w:color w:val="000000"/>
        </w:rPr>
        <w:t xml:space="preserve"> ДОПОЛНЕНИЕ</w:t>
      </w:r>
    </w:p>
    <w:p>
      <w:pPr>
        <w:spacing w:after="0"/>
        <w:ind w:left="0"/>
        <w:jc w:val="both"/>
      </w:pPr>
      <w:r>
        <w:rPr>
          <w:rFonts w:ascii="Times New Roman"/>
          <w:b w:val="false"/>
          <w:i w:val="false"/>
          <w:color w:val="000000"/>
          <w:sz w:val="28"/>
        </w:rPr>
        <w:t>      </w:t>
      </w:r>
      <w:r>
        <w:rPr>
          <w:rFonts w:ascii="Times New Roman"/>
          <w:b/>
          <w:i w:val="false"/>
          <w:color w:val="000000"/>
          <w:sz w:val="28"/>
        </w:rPr>
        <w:t>Раздел I. Определения</w:t>
      </w:r>
      <w:r>
        <w:br/>
      </w:r>
      <w:r>
        <w:rPr>
          <w:rFonts w:ascii="Times New Roman"/>
          <w:b w:val="false"/>
          <w:i w:val="false"/>
          <w:color w:val="000000"/>
          <w:sz w:val="28"/>
        </w:rPr>
        <w:t>
      1. "Альянс" означает акционерное общество "Альянс Банк", изначально образованный 13 августа 2001 г. и в последующем переименованный и реструктурированный Агентством РК по регулированию и надзору финансового рынка и финансовых организаций, которое издало Постановление Правления № 268 "О принудительном выкупе акций Акционерного общества "Альянс Банк" и их продаже Акционерному обществу "Фонд национального благосостояния "Самрук-Қазына" от 30 декабря 2009 г.</w:t>
      </w:r>
      <w:r>
        <w:br/>
      </w:r>
      <w:r>
        <w:rPr>
          <w:rFonts w:ascii="Times New Roman"/>
          <w:b w:val="false"/>
          <w:i w:val="false"/>
          <w:color w:val="000000"/>
          <w:sz w:val="28"/>
        </w:rPr>
        <w:t xml:space="preserve">
      2. "БТА" означает банк, образованный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РК № 73 "О реорганизации Казахского акционерного банка "Туранбанк" и "AlemBank Kazakstan" от 15 января 1997 г. и официально переименованный в акционерное общество "БТА Банк" в феврале 2008 г.</w:t>
      </w:r>
      <w:r>
        <w:br/>
      </w:r>
      <w:r>
        <w:rPr>
          <w:rFonts w:ascii="Times New Roman"/>
          <w:b w:val="false"/>
          <w:i w:val="false"/>
          <w:color w:val="000000"/>
          <w:sz w:val="28"/>
        </w:rPr>
        <w:t>
      3. "Неправомочные расходы" означают любые расходы:</w:t>
      </w:r>
      <w:r>
        <w:br/>
      </w:r>
      <w:r>
        <w:rPr>
          <w:rFonts w:ascii="Times New Roman"/>
          <w:b w:val="false"/>
          <w:i w:val="false"/>
          <w:color w:val="000000"/>
          <w:sz w:val="28"/>
        </w:rPr>
        <w:t>
      (a) на товары или услуги, предоставляемые по контрактам, финансирующимся или подлежащих финансированию любой национальной или международной финансовой организацией или агентством, не являющихся Банком или Ассоциацией, или финансируемые Банком или Ассоциацией в рамках других займов, кредитов или грантов;</w:t>
      </w:r>
      <w:r>
        <w:br/>
      </w:r>
      <w:r>
        <w:rPr>
          <w:rFonts w:ascii="Times New Roman"/>
          <w:b w:val="false"/>
          <w:i w:val="false"/>
          <w:color w:val="000000"/>
          <w:sz w:val="28"/>
        </w:rPr>
        <w:t>
      (b) на товары, входящие в состав следующих групп или подгрупп Стандартов международной торговой классификации, Версия 3 (SITC, Rev.3), опубликованных ООН в Сборнике статистических материалов, серия М, № 34/Версия 3 (1986) (SITC), или в любые другие последующие группы или подгруппы новых версий Стандартов международной торговой классификации, о которых Банк должен уведомить Заемщика: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3773"/>
        <w:gridCol w:w="777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Подгруппа</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товара</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Алкогольные напитки</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непромышленный табак, табачные</w:t>
            </w:r>
            <w:r>
              <w:br/>
            </w:r>
            <w:r>
              <w:rPr>
                <w:rFonts w:ascii="Times New Roman"/>
                <w:b w:val="false"/>
                <w:i w:val="false"/>
                <w:color w:val="000000"/>
                <w:sz w:val="20"/>
              </w:rPr>
              <w:t>
отходы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Промышленный табак (с/без табачных</w:t>
            </w:r>
            <w:r>
              <w:br/>
            </w:r>
            <w:r>
              <w:rPr>
                <w:rFonts w:ascii="Times New Roman"/>
                <w:b w:val="false"/>
                <w:i w:val="false"/>
                <w:color w:val="000000"/>
                <w:sz w:val="20"/>
              </w:rPr>
              <w:t>
заменителей)</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Радиоактивные или сопутствующие</w:t>
            </w:r>
            <w:r>
              <w:br/>
            </w:r>
            <w:r>
              <w:rPr>
                <w:rFonts w:ascii="Times New Roman"/>
                <w:b w:val="false"/>
                <w:i w:val="false"/>
                <w:color w:val="000000"/>
                <w:sz w:val="20"/>
              </w:rPr>
              <w:t>
материалы</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Жемчуг, обработанные или</w:t>
            </w:r>
            <w:r>
              <w:br/>
            </w:r>
            <w:r>
              <w:rPr>
                <w:rFonts w:ascii="Times New Roman"/>
                <w:b w:val="false"/>
                <w:i w:val="false"/>
                <w:color w:val="000000"/>
                <w:sz w:val="20"/>
              </w:rPr>
              <w:t>
необработанные драгоценные и</w:t>
            </w:r>
            <w:r>
              <w:br/>
            </w:r>
            <w:r>
              <w:rPr>
                <w:rFonts w:ascii="Times New Roman"/>
                <w:b w:val="false"/>
                <w:i w:val="false"/>
                <w:color w:val="000000"/>
                <w:sz w:val="20"/>
              </w:rPr>
              <w:t>
полудрагоценные камни</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Атомные реакторы и его части,</w:t>
            </w:r>
            <w:r>
              <w:br/>
            </w:r>
            <w:r>
              <w:rPr>
                <w:rFonts w:ascii="Times New Roman"/>
                <w:b w:val="false"/>
                <w:i w:val="false"/>
                <w:color w:val="000000"/>
                <w:sz w:val="20"/>
              </w:rPr>
              <w:t>
топливные элементы (картриджи),</w:t>
            </w:r>
            <w:r>
              <w:br/>
            </w:r>
            <w:r>
              <w:rPr>
                <w:rFonts w:ascii="Times New Roman"/>
                <w:b w:val="false"/>
                <w:i w:val="false"/>
                <w:color w:val="000000"/>
                <w:sz w:val="20"/>
              </w:rPr>
              <w:t>
необлученные, для ядерных реакторов</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Оборудование для производства табачных</w:t>
            </w:r>
            <w:r>
              <w:br/>
            </w:r>
            <w:r>
              <w:rPr>
                <w:rFonts w:ascii="Times New Roman"/>
                <w:b w:val="false"/>
                <w:i w:val="false"/>
                <w:color w:val="000000"/>
                <w:sz w:val="20"/>
              </w:rPr>
              <w:t>
изделий</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Ювелирные изделия из золота, серебра,</w:t>
            </w:r>
            <w:r>
              <w:br/>
            </w:r>
            <w:r>
              <w:rPr>
                <w:rFonts w:ascii="Times New Roman"/>
                <w:b w:val="false"/>
                <w:i w:val="false"/>
                <w:color w:val="000000"/>
                <w:sz w:val="20"/>
              </w:rPr>
              <w:t>
платины (за исключением часов и</w:t>
            </w:r>
            <w:r>
              <w:br/>
            </w:r>
            <w:r>
              <w:rPr>
                <w:rFonts w:ascii="Times New Roman"/>
                <w:b w:val="false"/>
                <w:i w:val="false"/>
                <w:color w:val="000000"/>
                <w:sz w:val="20"/>
              </w:rPr>
              <w:t>
часовых камер), также ювелирные</w:t>
            </w:r>
            <w:r>
              <w:br/>
            </w:r>
            <w:r>
              <w:rPr>
                <w:rFonts w:ascii="Times New Roman"/>
                <w:b w:val="false"/>
                <w:i w:val="false"/>
                <w:color w:val="000000"/>
                <w:sz w:val="20"/>
              </w:rPr>
              <w:t>
золотые и серебряные изделия (включая</w:t>
            </w:r>
            <w:r>
              <w:br/>
            </w:r>
            <w:r>
              <w:rPr>
                <w:rFonts w:ascii="Times New Roman"/>
                <w:b w:val="false"/>
                <w:i w:val="false"/>
                <w:color w:val="000000"/>
                <w:sz w:val="20"/>
              </w:rPr>
              <w:t>
вставки из драгоценных камней)</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Немонетарное золото (за исключением</w:t>
            </w:r>
            <w:r>
              <w:br/>
            </w:r>
            <w:r>
              <w:rPr>
                <w:rFonts w:ascii="Times New Roman"/>
                <w:b w:val="false"/>
                <w:i w:val="false"/>
                <w:color w:val="000000"/>
                <w:sz w:val="20"/>
              </w:rPr>
              <w:t>
золотосодержащей руды и концентратов)</w:t>
            </w:r>
          </w:p>
        </w:tc>
      </w:tr>
    </w:tbl>
    <w:p>
      <w:pPr>
        <w:spacing w:after="0"/>
        <w:ind w:left="0"/>
        <w:jc w:val="both"/>
      </w:pPr>
      <w:r>
        <w:rPr>
          <w:rFonts w:ascii="Times New Roman"/>
          <w:b w:val="false"/>
          <w:i w:val="false"/>
          <w:color w:val="000000"/>
          <w:sz w:val="28"/>
        </w:rPr>
        <w:t>      (c) на товары, предназначенные для военных или военизированных целей или для потребления в качестве предметов роскоши;</w:t>
      </w:r>
      <w:r>
        <w:br/>
      </w:r>
      <w:r>
        <w:rPr>
          <w:rFonts w:ascii="Times New Roman"/>
          <w:b w:val="false"/>
          <w:i w:val="false"/>
          <w:color w:val="000000"/>
          <w:sz w:val="28"/>
        </w:rPr>
        <w:t>
      (d) на экологически опасные товары, производство, использование и импорт которых запрещены законами Заемщика или международными соглашениями, по которым Заемщик является одной из сторон;</w:t>
      </w:r>
      <w:r>
        <w:br/>
      </w:r>
      <w:r>
        <w:rPr>
          <w:rFonts w:ascii="Times New Roman"/>
          <w:b w:val="false"/>
          <w:i w:val="false"/>
          <w:color w:val="000000"/>
          <w:sz w:val="28"/>
        </w:rPr>
        <w:t>
      (e) по любым платежам, запрещенным решением Совета Безопасности Организации Объединенных Наций, принятым в соответствии с Главой VII Устава ООН; и</w:t>
      </w:r>
      <w:r>
        <w:br/>
      </w:r>
      <w:r>
        <w:rPr>
          <w:rFonts w:ascii="Times New Roman"/>
          <w:b w:val="false"/>
          <w:i w:val="false"/>
          <w:color w:val="000000"/>
          <w:sz w:val="28"/>
        </w:rPr>
        <w:t>
      (f) в отношении которых Банк обнаружил, что какой-либо представитель Заемщика (или любой иной получатель каких-либо средств Займа) принял участие в коррупционной, обманной, мошеннической, основанной на принуждении или сговоре, практике в связи с использованием средств Займа, и Заемщик (или любой иной получатель) не принял своевременных мер и соответствующих действий, удовлетворительных для Банка, направленных на оперативное устранение такой практики.</w:t>
      </w:r>
      <w:r>
        <w:br/>
      </w:r>
      <w:r>
        <w:rPr>
          <w:rFonts w:ascii="Times New Roman"/>
          <w:b w:val="false"/>
          <w:i w:val="false"/>
          <w:color w:val="000000"/>
          <w:sz w:val="28"/>
        </w:rPr>
        <w:t xml:space="preserve">
      4. Агентство РК по регулированию и надзору финансового рынка и финансовых организаций означает агентство, впервые образованное </w:t>
      </w:r>
      <w:r>
        <w:rPr>
          <w:rFonts w:ascii="Times New Roman"/>
          <w:b w:val="false"/>
          <w:i w:val="false"/>
          <w:color w:val="000000"/>
          <w:sz w:val="28"/>
        </w:rPr>
        <w:t>Указом</w:t>
      </w:r>
      <w:r>
        <w:rPr>
          <w:rFonts w:ascii="Times New Roman"/>
          <w:b w:val="false"/>
          <w:i w:val="false"/>
          <w:color w:val="000000"/>
          <w:sz w:val="28"/>
        </w:rPr>
        <w:t xml:space="preserve"> Президета РК № 1270 "О дальнейшем совершенствовании системы государственного управления Республики Казахстан" от 31 декабря 2003 г., ответственное за осуществление государственного регулирования и надзора финансового рынка и финансовых организаций.</w:t>
      </w:r>
      <w:r>
        <w:br/>
      </w:r>
      <w:r>
        <w:rPr>
          <w:rFonts w:ascii="Times New Roman"/>
          <w:b w:val="false"/>
          <w:i w:val="false"/>
          <w:color w:val="000000"/>
          <w:sz w:val="28"/>
        </w:rPr>
        <w:t>
      5. "Общие условия" - "Общие условия для займов Международного банка реконструкции и развития" от 1 июля 2005 года (с поправками на 12 февраля 2008 года), с учетом изменений, представленных в Разделе II данного Дополнения.</w:t>
      </w:r>
      <w:r>
        <w:br/>
      </w:r>
      <w:r>
        <w:rPr>
          <w:rFonts w:ascii="Times New Roman"/>
          <w:b w:val="false"/>
          <w:i w:val="false"/>
          <w:color w:val="000000"/>
          <w:sz w:val="28"/>
        </w:rPr>
        <w:t xml:space="preserve">
      6. "Национальный фонд" означает национальный нефтяной фонд Заемщика, образованный </w:t>
      </w:r>
      <w:r>
        <w:rPr>
          <w:rFonts w:ascii="Times New Roman"/>
          <w:b w:val="false"/>
          <w:i w:val="false"/>
          <w:color w:val="000000"/>
          <w:sz w:val="28"/>
        </w:rPr>
        <w:t>Указом</w:t>
      </w:r>
      <w:r>
        <w:rPr>
          <w:rFonts w:ascii="Times New Roman"/>
          <w:b w:val="false"/>
          <w:i w:val="false"/>
          <w:color w:val="000000"/>
          <w:sz w:val="28"/>
        </w:rPr>
        <w:t xml:space="preserve"> Президента РК № 402 "О Национальном фонде Республики Казахстан" от 23 августа 2000 г.</w:t>
      </w:r>
      <w:r>
        <w:br/>
      </w:r>
      <w:r>
        <w:rPr>
          <w:rFonts w:ascii="Times New Roman"/>
          <w:b w:val="false"/>
          <w:i w:val="false"/>
          <w:color w:val="000000"/>
          <w:sz w:val="28"/>
        </w:rPr>
        <w:t>
      7. "Программа" означает программу действий, целей и стратегий, разработанную для стимулирования роста и достижения поступательного сокращения бедности, которые определены или на которые делается ссылка в письме № DGZ-1/4909 от 19 апреля 2010 г., где Заемщик заявляет Банку о своих обязательствах по реализации Программы и просит Банк об оказании содействия в поддержке по ее реализации.</w:t>
      </w:r>
      <w:r>
        <w:br/>
      </w:r>
      <w:r>
        <w:rPr>
          <w:rFonts w:ascii="Times New Roman"/>
          <w:b w:val="false"/>
          <w:i w:val="false"/>
          <w:color w:val="000000"/>
          <w:sz w:val="28"/>
        </w:rPr>
        <w:t>
      8. "Единовременный транш" означает сумму Займа, выделенную по категории "Единовременный транш" в таблице, приведенной в Части В Раздела II Приложения 1 к настоящему Соглашению.</w:t>
      </w:r>
    </w:p>
    <w:p>
      <w:pPr>
        <w:spacing w:after="0"/>
        <w:ind w:left="0"/>
        <w:jc w:val="both"/>
      </w:pPr>
      <w:r>
        <w:rPr>
          <w:rFonts w:ascii="Times New Roman"/>
          <w:b w:val="false"/>
          <w:i w:val="false"/>
          <w:color w:val="000000"/>
          <w:sz w:val="28"/>
        </w:rPr>
        <w:t>      </w:t>
      </w:r>
      <w:r>
        <w:rPr>
          <w:rFonts w:ascii="Times New Roman"/>
          <w:b/>
          <w:i w:val="false"/>
          <w:color w:val="000000"/>
          <w:sz w:val="28"/>
        </w:rPr>
        <w:t>Раздел II. Поправки к Общим условиям</w:t>
      </w:r>
      <w:r>
        <w:br/>
      </w: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1. Последнее предложение пункта (а) Раздела 2.03 (относительно Заявок на снятие средств) удалено полностью.</w:t>
      </w:r>
      <w:r>
        <w:br/>
      </w:r>
      <w:r>
        <w:rPr>
          <w:rFonts w:ascii="Times New Roman"/>
          <w:b w:val="false"/>
          <w:i w:val="false"/>
          <w:color w:val="000000"/>
          <w:sz w:val="28"/>
        </w:rPr>
        <w:t>
      2. Разделы 2.04 (</w:t>
      </w:r>
      <w:r>
        <w:rPr>
          <w:rFonts w:ascii="Times New Roman"/>
          <w:b w:val="false"/>
          <w:i/>
          <w:color w:val="000000"/>
          <w:sz w:val="28"/>
        </w:rPr>
        <w:t>Выделенные счета</w:t>
      </w:r>
      <w:r>
        <w:rPr>
          <w:rFonts w:ascii="Times New Roman"/>
          <w:b w:val="false"/>
          <w:i w:val="false"/>
          <w:color w:val="000000"/>
          <w:sz w:val="28"/>
        </w:rPr>
        <w:t>) и 2.05 (</w:t>
      </w:r>
      <w:r>
        <w:rPr>
          <w:rFonts w:ascii="Times New Roman"/>
          <w:b w:val="false"/>
          <w:i/>
          <w:color w:val="000000"/>
          <w:sz w:val="28"/>
        </w:rPr>
        <w:t>Приемлемые расходы</w:t>
      </w:r>
      <w:r>
        <w:rPr>
          <w:rFonts w:ascii="Times New Roman"/>
          <w:b w:val="false"/>
          <w:i w:val="false"/>
          <w:color w:val="000000"/>
          <w:sz w:val="28"/>
        </w:rPr>
        <w:t>) полностью удалены, а оставшиеся Разделы в Статье 2 перенумерованы соответственно.</w:t>
      </w:r>
      <w:r>
        <w:br/>
      </w:r>
      <w:r>
        <w:rPr>
          <w:rFonts w:ascii="Times New Roman"/>
          <w:b w:val="false"/>
          <w:i w:val="false"/>
          <w:color w:val="000000"/>
          <w:sz w:val="28"/>
        </w:rPr>
        <w:t>
      3. Пункт (а) Раздела 2.05 (перенумерован согласно вышеизложенному пункту 2) звучит в следующей редакции:</w:t>
      </w:r>
      <w:r>
        <w:br/>
      </w:r>
      <w:r>
        <w:rPr>
          <w:rFonts w:ascii="Times New Roman"/>
          <w:b w:val="false"/>
          <w:i w:val="false"/>
          <w:color w:val="000000"/>
          <w:sz w:val="28"/>
        </w:rPr>
        <w:t xml:space="preserve">
      "Раздел 2.05. </w:t>
      </w:r>
      <w:r>
        <w:rPr>
          <w:rFonts w:ascii="Times New Roman"/>
          <w:b w:val="false"/>
          <w:i/>
          <w:color w:val="000000"/>
          <w:sz w:val="28"/>
        </w:rPr>
        <w:t>Аванс для подготовки к рефинансированию; Капитализация Единовременной комиссии и вознаграждения</w:t>
      </w:r>
      <w:r>
        <w:br/>
      </w: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 на Подготовку"), то Банк от имени Стороны по Займу должен снять со счета Займа на или после Даты вступления в силу такую сумму, которая необходима для погашения снятой и непогашенной суммы аванса на день снятия этой суммы со счета Займа, и выплатить все начисленные и неоплаченные сборы на сумму аванса на эту дату, если таковые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r>
        <w:br/>
      </w:r>
      <w:r>
        <w:rPr>
          <w:rFonts w:ascii="Times New Roman"/>
          <w:b w:val="false"/>
          <w:i w:val="false"/>
          <w:color w:val="000000"/>
          <w:sz w:val="28"/>
        </w:rPr>
        <w:t xml:space="preserve">
      4. Раздел 5.01 </w:t>
      </w:r>
      <w:r>
        <w:rPr>
          <w:rFonts w:ascii="Times New Roman"/>
          <w:b w:val="false"/>
          <w:i/>
          <w:color w:val="000000"/>
          <w:sz w:val="28"/>
        </w:rPr>
        <w:t xml:space="preserve">(Общие принципы исполнения Проекта), и </w:t>
      </w:r>
      <w:r>
        <w:rPr>
          <w:rFonts w:ascii="Times New Roman"/>
          <w:b w:val="false"/>
          <w:i w:val="false"/>
          <w:color w:val="000000"/>
          <w:sz w:val="28"/>
        </w:rPr>
        <w:t>5.09</w:t>
      </w:r>
      <w:r>
        <w:rPr>
          <w:rFonts w:ascii="Times New Roman"/>
          <w:b w:val="false"/>
          <w:i/>
          <w:color w:val="000000"/>
          <w:sz w:val="28"/>
        </w:rPr>
        <w:t xml:space="preserve"> (Финансовое управление; Финансовая отчетность; Аудит)</w:t>
      </w:r>
      <w:r>
        <w:rPr>
          <w:rFonts w:ascii="Times New Roman"/>
          <w:b w:val="false"/>
          <w:i w:val="false"/>
          <w:color w:val="000000"/>
          <w:sz w:val="28"/>
        </w:rPr>
        <w:t xml:space="preserve"> полностью удалены, а оставшиеся Разделы Статьи 5 перенумерованы соответствующим образом.</w:t>
      </w:r>
      <w:r>
        <w:br/>
      </w:r>
      <w:r>
        <w:rPr>
          <w:rFonts w:ascii="Times New Roman"/>
          <w:b w:val="false"/>
          <w:i w:val="false"/>
          <w:color w:val="000000"/>
          <w:sz w:val="28"/>
        </w:rPr>
        <w:t xml:space="preserve">
      5. Пункт (а) Раздела 5.05 (перенумерованный согласно вышеуказанному пункту 4 и относящийся к </w:t>
      </w:r>
      <w:r>
        <w:rPr>
          <w:rFonts w:ascii="Times New Roman"/>
          <w:b w:val="false"/>
          <w:i/>
          <w:color w:val="000000"/>
          <w:sz w:val="28"/>
        </w:rPr>
        <w:t>Использованию товаров, работ и услуг</w:t>
      </w:r>
      <w:r>
        <w:rPr>
          <w:rFonts w:ascii="Times New Roman"/>
          <w:b w:val="false"/>
          <w:i w:val="false"/>
          <w:color w:val="000000"/>
          <w:sz w:val="28"/>
        </w:rPr>
        <w:t>) полностью удален.</w:t>
      </w:r>
      <w:r>
        <w:br/>
      </w:r>
      <w:r>
        <w:rPr>
          <w:rFonts w:ascii="Times New Roman"/>
          <w:b w:val="false"/>
          <w:i w:val="false"/>
          <w:color w:val="000000"/>
          <w:sz w:val="28"/>
        </w:rPr>
        <w:t>
      6. Пункт (с) Раздела 5.06 (перенумерованный согласно вышеуказанному пункту 4) звучит в следующей редакции:</w:t>
      </w:r>
      <w:r>
        <w:br/>
      </w:r>
      <w:r>
        <w:rPr>
          <w:rFonts w:ascii="Times New Roman"/>
          <w:b w:val="false"/>
          <w:i w:val="false"/>
          <w:color w:val="000000"/>
          <w:sz w:val="28"/>
        </w:rPr>
        <w:t xml:space="preserve">
      "Раздел 5.06. </w:t>
      </w:r>
      <w:r>
        <w:rPr>
          <w:rFonts w:ascii="Times New Roman"/>
          <w:b w:val="false"/>
          <w:i/>
          <w:color w:val="000000"/>
          <w:sz w:val="28"/>
        </w:rPr>
        <w:t>Планы; Документы; Учетные записи</w:t>
      </w:r>
      <w:r>
        <w:br/>
      </w:r>
      <w:r>
        <w:rPr>
          <w:rFonts w:ascii="Times New Roman"/>
          <w:b w:val="false"/>
          <w:i w:val="false"/>
          <w:color w:val="000000"/>
          <w:sz w:val="28"/>
        </w:rPr>
        <w:t>
      ... (с) Заемщик хранит все учетные записи (контракты, платежные поручения, счета-фактуры, счета, квитанции и другие документы), подтверждающее расходы в рамках Займа в течение двух лет после Даты закрытия. Заемщик предоставляет представителям Банка возможность изучения этих учетных записей".</w:t>
      </w:r>
      <w:r>
        <w:br/>
      </w:r>
      <w:r>
        <w:rPr>
          <w:rFonts w:ascii="Times New Roman"/>
          <w:b w:val="false"/>
          <w:i w:val="false"/>
          <w:color w:val="000000"/>
          <w:sz w:val="28"/>
        </w:rPr>
        <w:t>
      7. Пункт (с) Раздела 5.07 (перенумерованный согласно вышеуказанному пункту 4) звучит в следующей редакции:</w:t>
      </w:r>
      <w:r>
        <w:br/>
      </w:r>
      <w:r>
        <w:rPr>
          <w:rFonts w:ascii="Times New Roman"/>
          <w:b w:val="false"/>
          <w:i w:val="false"/>
          <w:color w:val="000000"/>
          <w:sz w:val="28"/>
        </w:rPr>
        <w:t xml:space="preserve">
      Раздел 5.07. </w:t>
      </w:r>
      <w:r>
        <w:rPr>
          <w:rFonts w:ascii="Times New Roman"/>
          <w:b w:val="false"/>
          <w:i/>
          <w:color w:val="000000"/>
          <w:sz w:val="28"/>
        </w:rPr>
        <w:t>Мониторинг и оценка Программы</w:t>
      </w:r>
      <w:r>
        <w:br/>
      </w:r>
      <w:r>
        <w:rPr>
          <w:rFonts w:ascii="Times New Roman"/>
          <w:b w:val="false"/>
          <w:i w:val="false"/>
          <w:color w:val="000000"/>
          <w:sz w:val="28"/>
        </w:rPr>
        <w:t>
      ... (с) Заемщик готовит или обеспечивает подготовку и предоставляет Банку не позднее, чем через шесть месяцев после Даты закрытия отчет такого объема и с такой степенью детализации, которые Банк может обоснованно потребовать, об исполнении Программы, выполнении Сторонами по Займу и Банком своих соответствующих обязательств по Юридическим соглашениям и о выполнении задач Займа.</w:t>
      </w:r>
      <w:r>
        <w:br/>
      </w:r>
      <w:r>
        <w:rPr>
          <w:rFonts w:ascii="Times New Roman"/>
          <w:b w:val="false"/>
          <w:i w:val="false"/>
          <w:color w:val="000000"/>
          <w:sz w:val="28"/>
        </w:rPr>
        <w:t>
      8. В Дополнении были изменены или исключены следующие понятия и определения, а также были внесены следующие новые понятия и определения в алфавитном порядке с соответствующим изменением нумерации понятий:</w:t>
      </w:r>
      <w:r>
        <w:br/>
      </w:r>
      <w:r>
        <w:rPr>
          <w:rFonts w:ascii="Times New Roman"/>
          <w:b w:val="false"/>
          <w:i w:val="false"/>
          <w:color w:val="000000"/>
          <w:sz w:val="28"/>
        </w:rPr>
        <w:t>
      (a) Определение понятия "Приемлемый расход" звучит в следующей редакции:</w:t>
      </w:r>
      <w:r>
        <w:br/>
      </w:r>
      <w:r>
        <w:rPr>
          <w:rFonts w:ascii="Times New Roman"/>
          <w:b w:val="false"/>
          <w:i w:val="false"/>
          <w:color w:val="000000"/>
          <w:sz w:val="28"/>
        </w:rPr>
        <w:t>
      "Приемлемый расход" означает любое расходование средств Займа, выделенного на поддержку Программы, кроме расходов, финансирование которых не допускается согласно настоящему Соглашению о займе".</w:t>
      </w:r>
      <w:r>
        <w:br/>
      </w:r>
      <w:r>
        <w:rPr>
          <w:rFonts w:ascii="Times New Roman"/>
          <w:b w:val="false"/>
          <w:i w:val="false"/>
          <w:color w:val="000000"/>
          <w:sz w:val="28"/>
        </w:rPr>
        <w:t>
      (b) Понятие "Финансовая отчетность" и его определение полностью исключены.</w:t>
      </w:r>
      <w:r>
        <w:br/>
      </w:r>
      <w:r>
        <w:rPr>
          <w:rFonts w:ascii="Times New Roman"/>
          <w:b w:val="false"/>
          <w:i w:val="false"/>
          <w:color w:val="000000"/>
          <w:sz w:val="28"/>
        </w:rPr>
        <w:t>
      (c) Понятие "Проект" изменено и звучит как "Программа" и его определение звучит в следующей редакции (и все ссылки на "Проект" по всему тексту настоящих Общих условий считаются относящимися к "Программе"):</w:t>
      </w:r>
      <w:r>
        <w:br/>
      </w:r>
      <w:r>
        <w:rPr>
          <w:rFonts w:ascii="Times New Roman"/>
          <w:b w:val="false"/>
          <w:i w:val="false"/>
          <w:color w:val="000000"/>
          <w:sz w:val="28"/>
        </w:rPr>
        <w:t>
      "Программа" означает программу, на которую делается ссылка в Соглашении о займе, и на поддержку которой выделен заем.</w:t>
      </w:r>
      <w:r>
        <w:br/>
      </w:r>
      <w:r>
        <w:rPr>
          <w:rFonts w:ascii="Times New Roman"/>
          <w:b w:val="false"/>
          <w:i w:val="false"/>
          <w:color w:val="000000"/>
          <w:sz w:val="28"/>
        </w:rPr>
        <w:t>
      (d) Понятие "Аванс на подготовку Программы" (переименованное как таковое согласно вышеуказанному подпункту 8 (с) заменено на понятие "Аванс на подготовку", и измененное определение соответственно звучит в следующей редакции:</w:t>
      </w:r>
      <w:r>
        <w:br/>
      </w:r>
      <w:r>
        <w:rPr>
          <w:rFonts w:ascii="Times New Roman"/>
          <w:b w:val="false"/>
          <w:i w:val="false"/>
          <w:color w:val="000000"/>
          <w:sz w:val="28"/>
        </w:rPr>
        <w:t>
      "Аванс на подготовку" означает аванс, на который делается ссылка в настоящем Соглашении о займе и подлежащий погашению в соответствии с Разделом 2.05.</w:t>
      </w:r>
      <w:r>
        <w:br/>
      </w:r>
      <w:r>
        <w:rPr>
          <w:rFonts w:ascii="Times New Roman"/>
          <w:b w:val="false"/>
          <w:i w:val="false"/>
          <w:color w:val="000000"/>
          <w:sz w:val="28"/>
        </w:rPr>
        <w:t>
      (е) Понятие "Дата конверсии" звучит в следующей редакции:</w:t>
      </w:r>
      <w:r>
        <w:br/>
      </w:r>
      <w:r>
        <w:rPr>
          <w:rFonts w:ascii="Times New Roman"/>
          <w:b w:val="false"/>
          <w:i w:val="false"/>
          <w:color w:val="000000"/>
          <w:sz w:val="28"/>
        </w:rPr>
        <w:t>
      "Дата конверсии" означает, в отношении Конверсии, Дата исполнения (как определено в настоящем пункте) или любая другая дата, запрошенная Заемщиком и принятая Банком, когда Конверсия вступает в силу, как следует из Руководства по конверсии.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