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795c" w14:textId="f827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развитии в Евразийском экономическом сообществе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w:t>
      </w:r>
    </w:p>
    <w:p>
      <w:pPr>
        <w:spacing w:after="0"/>
        <w:ind w:left="0"/>
        <w:jc w:val="both"/>
      </w:pPr>
      <w:r>
        <w:rPr>
          <w:rFonts w:ascii="Times New Roman"/>
          <w:b w:val="false"/>
          <w:i w:val="false"/>
          <w:color w:val="000000"/>
          <w:sz w:val="28"/>
        </w:rPr>
        <w:t>Постановление Правительства Республики Казахстан от 19 мая 2010 года № 445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развитии в Евразийском экономическом сообществе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w:t>
      </w:r>
      <w:r>
        <w:br/>
      </w:r>
      <w:r>
        <w:rPr>
          <w:rFonts w:ascii="Times New Roman"/>
          <w:b w:val="false"/>
          <w:i w:val="false"/>
          <w:color w:val="000000"/>
          <w:sz w:val="28"/>
        </w:rPr>
        <w:t>
</w:t>
      </w:r>
      <w:r>
        <w:rPr>
          <w:rFonts w:ascii="Times New Roman"/>
          <w:b w:val="false"/>
          <w:i w:val="false"/>
          <w:color w:val="000000"/>
          <w:sz w:val="28"/>
        </w:rPr>
        <w:t>
      2. Подписать Соглашение о развитии в Евразийском экономическом сообществе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2010 года № 445 </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развитии в Евразийском экономическом сообществе</w:t>
      </w:r>
      <w:r>
        <w:br/>
      </w:r>
      <w:r>
        <w:rPr>
          <w:rFonts w:ascii="Times New Roman"/>
          <w:b/>
          <w:i w:val="false"/>
          <w:color w:val="000000"/>
        </w:rPr>
        <w:t>
международного лизинга сельскохозяйственной техники,</w:t>
      </w:r>
      <w:r>
        <w:br/>
      </w:r>
      <w:r>
        <w:rPr>
          <w:rFonts w:ascii="Times New Roman"/>
          <w:b/>
          <w:i w:val="false"/>
          <w:color w:val="000000"/>
        </w:rPr>
        <w:t>
машин, механизмов, оборудования и транспортных средств,</w:t>
      </w:r>
      <w:r>
        <w:br/>
      </w:r>
      <w:r>
        <w:rPr>
          <w:rFonts w:ascii="Times New Roman"/>
          <w:b/>
          <w:i w:val="false"/>
          <w:color w:val="000000"/>
        </w:rPr>
        <w:t>
используемых в агропромышленных комплексах</w:t>
      </w:r>
    </w:p>
    <w:bookmarkEnd w:id="2"/>
    <w:bookmarkStart w:name="z7" w:id="3"/>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положениях </w:t>
      </w:r>
      <w:r>
        <w:rPr>
          <w:rFonts w:ascii="Times New Roman"/>
          <w:b w:val="false"/>
          <w:i w:val="false"/>
          <w:color w:val="000000"/>
          <w:sz w:val="28"/>
        </w:rPr>
        <w:t>Договора</w:t>
      </w:r>
      <w:r>
        <w:rPr>
          <w:rFonts w:ascii="Times New Roman"/>
          <w:b w:val="false"/>
          <w:i w:val="false"/>
          <w:color w:val="000000"/>
          <w:sz w:val="28"/>
        </w:rPr>
        <w:t xml:space="preserve"> о таможенном союзе и Едином экономическом пространстве от 26 февраля 1999 г. и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 (далее - ЕврАзЭС или Сообщество),</w:t>
      </w:r>
      <w:r>
        <w:br/>
      </w:r>
      <w:r>
        <w:rPr>
          <w:rFonts w:ascii="Times New Roman"/>
          <w:b w:val="false"/>
          <w:i w:val="false"/>
          <w:color w:val="000000"/>
          <w:sz w:val="28"/>
        </w:rPr>
        <w:t>
</w:t>
      </w:r>
      <w:r>
        <w:rPr>
          <w:rFonts w:ascii="Times New Roman"/>
          <w:b w:val="false"/>
          <w:i w:val="false"/>
          <w:color w:val="000000"/>
          <w:sz w:val="28"/>
        </w:rPr>
        <w:t>
      руководствуясь Концепцией агропромышленной политики государств-членов ЕврАзЭС, утвержденной Решением Межгосударственного Совета ЕврАзЭС от 24 марта 2005 г., № 204,</w:t>
      </w:r>
      <w:r>
        <w:br/>
      </w:r>
      <w:r>
        <w:rPr>
          <w:rFonts w:ascii="Times New Roman"/>
          <w:b w:val="false"/>
          <w:i w:val="false"/>
          <w:color w:val="000000"/>
          <w:sz w:val="28"/>
        </w:rPr>
        <w:t>
</w:t>
      </w:r>
      <w:r>
        <w:rPr>
          <w:rFonts w:ascii="Times New Roman"/>
          <w:b w:val="false"/>
          <w:i w:val="false"/>
          <w:color w:val="000000"/>
          <w:sz w:val="28"/>
        </w:rPr>
        <w:t>
      стремясь к проведению согласованной политики в целях:</w:t>
      </w:r>
      <w:r>
        <w:br/>
      </w:r>
      <w:r>
        <w:rPr>
          <w:rFonts w:ascii="Times New Roman"/>
          <w:b w:val="false"/>
          <w:i w:val="false"/>
          <w:color w:val="000000"/>
          <w:sz w:val="28"/>
        </w:rPr>
        <w:t>
</w:t>
      </w:r>
      <w:r>
        <w:rPr>
          <w:rFonts w:ascii="Times New Roman"/>
          <w:b w:val="false"/>
          <w:i w:val="false"/>
          <w:color w:val="000000"/>
          <w:sz w:val="28"/>
        </w:rPr>
        <w:t>
      повышения уровня технической оснащенности агропромышленных комплексов государств Сообщества;</w:t>
      </w:r>
      <w:r>
        <w:br/>
      </w:r>
      <w:r>
        <w:rPr>
          <w:rFonts w:ascii="Times New Roman"/>
          <w:b w:val="false"/>
          <w:i w:val="false"/>
          <w:color w:val="000000"/>
          <w:sz w:val="28"/>
        </w:rPr>
        <w:t>
</w:t>
      </w:r>
      <w:r>
        <w:rPr>
          <w:rFonts w:ascii="Times New Roman"/>
          <w:b w:val="false"/>
          <w:i w:val="false"/>
          <w:color w:val="000000"/>
          <w:sz w:val="28"/>
        </w:rPr>
        <w:t>
      развития производства сельскохозяйственной техники, машин, механизмов, оборудования и транспортных средств, используемых в агропромышленных комплексах государств-членов ЕврАзЭС;</w:t>
      </w:r>
      <w:r>
        <w:br/>
      </w:r>
      <w:r>
        <w:rPr>
          <w:rFonts w:ascii="Times New Roman"/>
          <w:b w:val="false"/>
          <w:i w:val="false"/>
          <w:color w:val="000000"/>
          <w:sz w:val="28"/>
        </w:rPr>
        <w:t>
</w:t>
      </w:r>
      <w:r>
        <w:rPr>
          <w:rFonts w:ascii="Times New Roman"/>
          <w:b w:val="false"/>
          <w:i w:val="false"/>
          <w:color w:val="000000"/>
          <w:sz w:val="28"/>
        </w:rPr>
        <w:t>
      развития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 и производимых в государствах - членах ЕврАзЭС;</w:t>
      </w:r>
      <w:r>
        <w:br/>
      </w:r>
      <w:r>
        <w:rPr>
          <w:rFonts w:ascii="Times New Roman"/>
          <w:b w:val="false"/>
          <w:i w:val="false"/>
          <w:color w:val="000000"/>
          <w:sz w:val="28"/>
        </w:rPr>
        <w:t>
</w:t>
      </w:r>
      <w:r>
        <w:rPr>
          <w:rFonts w:ascii="Times New Roman"/>
          <w:b w:val="false"/>
          <w:i w:val="false"/>
          <w:color w:val="000000"/>
          <w:sz w:val="28"/>
        </w:rPr>
        <w:t>
      повышения конкурентоспособности сельскохозяйственного машиностроения в государствах Сообщества;</w:t>
      </w:r>
      <w:r>
        <w:br/>
      </w:r>
      <w:r>
        <w:rPr>
          <w:rFonts w:ascii="Times New Roman"/>
          <w:b w:val="false"/>
          <w:i w:val="false"/>
          <w:color w:val="000000"/>
          <w:sz w:val="28"/>
        </w:rPr>
        <w:t>
</w:t>
      </w:r>
      <w:r>
        <w:rPr>
          <w:rFonts w:ascii="Times New Roman"/>
          <w:b w:val="false"/>
          <w:i w:val="false"/>
          <w:color w:val="000000"/>
          <w:sz w:val="28"/>
        </w:rPr>
        <w:t>
      увеличения объемов производства основных видов сельскохозяйственной продукции для обеспечения продовольственной безопасности государств-членов ЕврАзЭС и Сообщества в целом;</w:t>
      </w:r>
      <w:r>
        <w:br/>
      </w:r>
      <w:r>
        <w:rPr>
          <w:rFonts w:ascii="Times New Roman"/>
          <w:b w:val="false"/>
          <w:i w:val="false"/>
          <w:color w:val="000000"/>
          <w:sz w:val="28"/>
        </w:rPr>
        <w:t>
</w:t>
      </w:r>
      <w:r>
        <w:rPr>
          <w:rFonts w:ascii="Times New Roman"/>
          <w:b w:val="false"/>
          <w:i w:val="false"/>
          <w:color w:val="000000"/>
          <w:sz w:val="28"/>
        </w:rPr>
        <w:t>
      формирования в Сообществе механизмов защиты прав и интересов субъектов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 и производимых в государствах - членах ЕврАзЭС;</w:t>
      </w:r>
      <w:r>
        <w:br/>
      </w:r>
      <w:r>
        <w:rPr>
          <w:rFonts w:ascii="Times New Roman"/>
          <w:b w:val="false"/>
          <w:i w:val="false"/>
          <w:color w:val="000000"/>
          <w:sz w:val="28"/>
        </w:rPr>
        <w:t>
</w:t>
      </w:r>
      <w:r>
        <w:rPr>
          <w:rFonts w:ascii="Times New Roman"/>
          <w:b w:val="false"/>
          <w:i w:val="false"/>
          <w:color w:val="000000"/>
          <w:sz w:val="28"/>
        </w:rPr>
        <w:t>
      привлечения инвестиций в агропромышленные комплексы государств Сообщества,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9" w:id="4"/>
    <w:p>
      <w:pPr>
        <w:spacing w:after="0"/>
        <w:ind w:left="0"/>
        <w:jc w:val="left"/>
      </w:pPr>
      <w:r>
        <w:rPr>
          <w:rFonts w:ascii="Times New Roman"/>
          <w:b/>
          <w:i w:val="false"/>
          <w:color w:val="000000"/>
        </w:rPr>
        <w:t xml:space="preserve"> 
Статья 1</w:t>
      </w:r>
    </w:p>
    <w:bookmarkEnd w:id="4"/>
    <w:bookmarkStart w:name="z20" w:id="5"/>
    <w:p>
      <w:pPr>
        <w:spacing w:after="0"/>
        <w:ind w:left="0"/>
        <w:jc w:val="both"/>
      </w:pPr>
      <w:r>
        <w:rPr>
          <w:rFonts w:ascii="Times New Roman"/>
          <w:b w:val="false"/>
          <w:i w:val="false"/>
          <w:color w:val="000000"/>
          <w:sz w:val="28"/>
        </w:rPr>
        <w:t>
      Для целей настоящего Соглашения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договор лизинга - договор, в соответствии с которым лизингодатель обязуется приобрести в собственность указанный лизингополучателем предмет лизинга у определенного лизингополучателем продавца (поставщика) и предоставить лизингополучателю этот предмет за плату на определенных договором условиях во временное владение и пользование. Договором лизинга может быть предусмотрено, что выбор продавца (поставщика) и предмета лизинга осуществляется лизингодателем;</w:t>
      </w:r>
      <w:r>
        <w:br/>
      </w:r>
      <w:r>
        <w:rPr>
          <w:rFonts w:ascii="Times New Roman"/>
          <w:b w:val="false"/>
          <w:i w:val="false"/>
          <w:color w:val="000000"/>
          <w:sz w:val="28"/>
        </w:rPr>
        <w:t>
</w:t>
      </w:r>
      <w:r>
        <w:rPr>
          <w:rFonts w:ascii="Times New Roman"/>
          <w:b w:val="false"/>
          <w:i w:val="false"/>
          <w:color w:val="000000"/>
          <w:sz w:val="28"/>
        </w:rPr>
        <w:t>
      лизинг - совокупность экономических и правовых отношений, возникающих в связи с реализацией договора лизинга, в том числе приобретением предмета лизинга;</w:t>
      </w:r>
      <w:r>
        <w:br/>
      </w:r>
      <w:r>
        <w:rPr>
          <w:rFonts w:ascii="Times New Roman"/>
          <w:b w:val="false"/>
          <w:i w:val="false"/>
          <w:color w:val="000000"/>
          <w:sz w:val="28"/>
        </w:rPr>
        <w:t>
</w:t>
      </w:r>
      <w:r>
        <w:rPr>
          <w:rFonts w:ascii="Times New Roman"/>
          <w:b w:val="false"/>
          <w:i w:val="false"/>
          <w:color w:val="000000"/>
          <w:sz w:val="28"/>
        </w:rPr>
        <w:t>
      сублизинг - вид договора лизинга, при котором лизингополучатель передает третьему лицу (сублизингополучателю по договору сублизинга) во владение и пользование на определенный срок за плату в соответствии с условиями договора сублизинга имущество, полученное от лизингодателя по договору лизинга и составляющее предмет лизинга. При этом лизингополучатель по договору лизинга, приобретая по отношению к сублизингополучателю по договору сублизинга права лизингодателя в порядке и с учетом условий, установленных законодательством государств Сторон и договором, не освобождается от предусмотренных договором лизинга обязательств и ответственности перед лизингодателем;</w:t>
      </w:r>
      <w:r>
        <w:br/>
      </w:r>
      <w:r>
        <w:rPr>
          <w:rFonts w:ascii="Times New Roman"/>
          <w:b w:val="false"/>
          <w:i w:val="false"/>
          <w:color w:val="000000"/>
          <w:sz w:val="28"/>
        </w:rPr>
        <w:t>
</w:t>
      </w:r>
      <w:r>
        <w:rPr>
          <w:rFonts w:ascii="Times New Roman"/>
          <w:b w:val="false"/>
          <w:i w:val="false"/>
          <w:color w:val="000000"/>
          <w:sz w:val="28"/>
        </w:rPr>
        <w:t>
      лизинговая деятельность - вид инвестиционной/предпринимательской деятельности, связанной с вложением собственных и/или привлеченных средств лизингодателя (инвестиций) для приобретения предмета лизинга и передачи его лизингополучателю по договору лизинга;</w:t>
      </w:r>
      <w:r>
        <w:br/>
      </w:r>
      <w:r>
        <w:rPr>
          <w:rFonts w:ascii="Times New Roman"/>
          <w:b w:val="false"/>
          <w:i w:val="false"/>
          <w:color w:val="000000"/>
          <w:sz w:val="28"/>
        </w:rPr>
        <w:t>
</w:t>
      </w:r>
      <w:r>
        <w:rPr>
          <w:rFonts w:ascii="Times New Roman"/>
          <w:b w:val="false"/>
          <w:i w:val="false"/>
          <w:color w:val="000000"/>
          <w:sz w:val="28"/>
        </w:rPr>
        <w:t>
      лизингодатель - физическое (если предусмотрено законодательством государств Сторон) или юридическое лицо, которое приобретает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договором лизинга условиях во временное владение и пользование с переходом или без перехода к лизингополучателю права собственности на предмет лизинга по окончании договора лизинга;</w:t>
      </w:r>
      <w:r>
        <w:br/>
      </w:r>
      <w:r>
        <w:rPr>
          <w:rFonts w:ascii="Times New Roman"/>
          <w:b w:val="false"/>
          <w:i w:val="false"/>
          <w:color w:val="000000"/>
          <w:sz w:val="28"/>
        </w:rPr>
        <w:t>
</w:t>
      </w:r>
      <w:r>
        <w:rPr>
          <w:rFonts w:ascii="Times New Roman"/>
          <w:b w:val="false"/>
          <w:i w:val="false"/>
          <w:color w:val="000000"/>
          <w:sz w:val="28"/>
        </w:rPr>
        <w:t>
      лизингополучатель - физическое или юридическое лицо, которое обязуется принять предмет лизинга за определенную плату, на определенный срок и на определенных договором лизинга условиях во временное владение и пользование;</w:t>
      </w:r>
      <w:r>
        <w:br/>
      </w:r>
      <w:r>
        <w:rPr>
          <w:rFonts w:ascii="Times New Roman"/>
          <w:b w:val="false"/>
          <w:i w:val="false"/>
          <w:color w:val="000000"/>
          <w:sz w:val="28"/>
        </w:rPr>
        <w:t>
</w:t>
      </w:r>
      <w:r>
        <w:rPr>
          <w:rFonts w:ascii="Times New Roman"/>
          <w:b w:val="false"/>
          <w:i w:val="false"/>
          <w:color w:val="000000"/>
          <w:sz w:val="28"/>
        </w:rPr>
        <w:t>
      резидент - физическое или юридическое лицо, обладающее статусом резидента в соответствии с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нерезидент - физическое или юридическое лицо, не обладающее статусом резидента в соответствии с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международный лизинг - вид лизинга, связанный с реализацией договора лизинга, в котором лизингодатель и лизингополучатель являются резидентами разных государств Сторон;</w:t>
      </w:r>
      <w:r>
        <w:br/>
      </w:r>
      <w:r>
        <w:rPr>
          <w:rFonts w:ascii="Times New Roman"/>
          <w:b w:val="false"/>
          <w:i w:val="false"/>
          <w:color w:val="000000"/>
          <w:sz w:val="28"/>
        </w:rPr>
        <w:t>
</w:t>
      </w:r>
      <w:r>
        <w:rPr>
          <w:rFonts w:ascii="Times New Roman"/>
          <w:b w:val="false"/>
          <w:i w:val="false"/>
          <w:color w:val="000000"/>
          <w:sz w:val="28"/>
        </w:rPr>
        <w:t>
      предмет лизинга - любые виды сельскохозяйственной техники, машин, механизмов, оборудования и транспортных средств, используемые в агропромышленных комплексах государств-членов ЕврАзЭС;</w:t>
      </w:r>
      <w:r>
        <w:br/>
      </w:r>
      <w:r>
        <w:rPr>
          <w:rFonts w:ascii="Times New Roman"/>
          <w:b w:val="false"/>
          <w:i w:val="false"/>
          <w:color w:val="000000"/>
          <w:sz w:val="28"/>
        </w:rPr>
        <w:t>
</w:t>
      </w:r>
      <w:r>
        <w:rPr>
          <w:rFonts w:ascii="Times New Roman"/>
          <w:b w:val="false"/>
          <w:i w:val="false"/>
          <w:color w:val="000000"/>
          <w:sz w:val="28"/>
        </w:rPr>
        <w:t>
      продавец (поставщик) - физическое или юридическое лицо, которое в соответствии с условиями договора купли-продажи (поставки), заключенного с лизингодателем, передает в собственность лизингодателю в обусловленный срок имущество, являющееся предметом лизинга. Продавец (поставщик) может одновременно выступать в качестве лизингополучателя в пределах одного лизингового правоотношения.</w:t>
      </w:r>
    </w:p>
    <w:bookmarkEnd w:id="5"/>
    <w:bookmarkStart w:name="z32" w:id="6"/>
    <w:p>
      <w:pPr>
        <w:spacing w:after="0"/>
        <w:ind w:left="0"/>
        <w:jc w:val="left"/>
      </w:pPr>
      <w:r>
        <w:rPr>
          <w:rFonts w:ascii="Times New Roman"/>
          <w:b/>
          <w:i w:val="false"/>
          <w:color w:val="000000"/>
        </w:rPr>
        <w:t xml:space="preserve"> 
Статья 2</w:t>
      </w:r>
    </w:p>
    <w:bookmarkEnd w:id="6"/>
    <w:bookmarkStart w:name="z33" w:id="7"/>
    <w:p>
      <w:pPr>
        <w:spacing w:after="0"/>
        <w:ind w:left="0"/>
        <w:jc w:val="both"/>
      </w:pPr>
      <w:r>
        <w:rPr>
          <w:rFonts w:ascii="Times New Roman"/>
          <w:b w:val="false"/>
          <w:i w:val="false"/>
          <w:color w:val="000000"/>
          <w:sz w:val="28"/>
        </w:rPr>
        <w:t>
      Устанавливаемые настоящим Соглашением условия применяются Сторонами для развития международного лизинга (сублизинга) сельскохозяйственной техники, машин, механизмов, оборудования и транспортных средств, используемых в агропромышленных комплексах государств-членов ЕврАзЭС.</w:t>
      </w:r>
    </w:p>
    <w:bookmarkEnd w:id="7"/>
    <w:bookmarkStart w:name="z34" w:id="8"/>
    <w:p>
      <w:pPr>
        <w:spacing w:after="0"/>
        <w:ind w:left="0"/>
        <w:jc w:val="left"/>
      </w:pPr>
      <w:r>
        <w:rPr>
          <w:rFonts w:ascii="Times New Roman"/>
          <w:b/>
          <w:i w:val="false"/>
          <w:color w:val="000000"/>
        </w:rPr>
        <w:t xml:space="preserve"> 
Статья 3</w:t>
      </w:r>
    </w:p>
    <w:bookmarkEnd w:id="8"/>
    <w:bookmarkStart w:name="z35" w:id="9"/>
    <w:p>
      <w:pPr>
        <w:spacing w:after="0"/>
        <w:ind w:left="0"/>
        <w:jc w:val="both"/>
      </w:pPr>
      <w:r>
        <w:rPr>
          <w:rFonts w:ascii="Times New Roman"/>
          <w:b w:val="false"/>
          <w:i w:val="false"/>
          <w:color w:val="000000"/>
          <w:sz w:val="28"/>
        </w:rPr>
        <w:t>
      Субъектам международного лизинга Стороны гарантируют на территории своих государств защиту прав и интересов, которая обеспечивается нормами международного права,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Стороны в соответствии с законодательством своих государств обеспечивают неприкосновенность собственности (предметов международного лизинга) и поощряют в рамках, предусмотренных законодательством своих государств, мобилизацию средств коммерческих структур, банков и иных финансовых организаций для развития международного лизинга.</w:t>
      </w:r>
    </w:p>
    <w:bookmarkEnd w:id="9"/>
    <w:bookmarkStart w:name="z37" w:id="10"/>
    <w:p>
      <w:pPr>
        <w:spacing w:after="0"/>
        <w:ind w:left="0"/>
        <w:jc w:val="left"/>
      </w:pPr>
      <w:r>
        <w:rPr>
          <w:rFonts w:ascii="Times New Roman"/>
          <w:b/>
          <w:i w:val="false"/>
          <w:color w:val="000000"/>
        </w:rPr>
        <w:t xml:space="preserve"> 
Статья 4</w:t>
      </w:r>
    </w:p>
    <w:bookmarkEnd w:id="10"/>
    <w:bookmarkStart w:name="z38" w:id="11"/>
    <w:p>
      <w:pPr>
        <w:spacing w:after="0"/>
        <w:ind w:left="0"/>
        <w:jc w:val="both"/>
      </w:pPr>
      <w:r>
        <w:rPr>
          <w:rFonts w:ascii="Times New Roman"/>
          <w:b w:val="false"/>
          <w:i w:val="false"/>
          <w:color w:val="000000"/>
          <w:sz w:val="28"/>
        </w:rPr>
        <w:t>
      Каждая из Сторон в соответствии с законодательством своего государства в случае необходимости может принимать решение о выделении своим резидентам-лизингополучателям бюджетных средств на возмещение части затрат на уплату лизинговых платежей по договорам международного лизинга. Порядок предоставления бюджетных средств на возмещение части затрат на уплату лизинговых платежей по договорам международного лизинга определяется Стороной.</w:t>
      </w:r>
      <w:r>
        <w:br/>
      </w:r>
      <w:r>
        <w:rPr>
          <w:rFonts w:ascii="Times New Roman"/>
          <w:b w:val="false"/>
          <w:i w:val="false"/>
          <w:color w:val="000000"/>
          <w:sz w:val="28"/>
        </w:rPr>
        <w:t>
</w:t>
      </w:r>
      <w:r>
        <w:rPr>
          <w:rFonts w:ascii="Times New Roman"/>
          <w:b w:val="false"/>
          <w:i w:val="false"/>
          <w:color w:val="000000"/>
          <w:sz w:val="28"/>
        </w:rPr>
        <w:t>
      Страна происхождения предмета лизинга не может являться единственным или одним из нескольких условий для принятия Стороной решения о выделении своим резидентам-лизингополучателям бюджетных средств на возмещение части затрат на уплату лизинговых платежей по договорам международного лизинга.</w:t>
      </w:r>
    </w:p>
    <w:bookmarkEnd w:id="11"/>
    <w:bookmarkStart w:name="z40" w:id="12"/>
    <w:p>
      <w:pPr>
        <w:spacing w:after="0"/>
        <w:ind w:left="0"/>
        <w:jc w:val="left"/>
      </w:pPr>
      <w:r>
        <w:rPr>
          <w:rFonts w:ascii="Times New Roman"/>
          <w:b/>
          <w:i w:val="false"/>
          <w:color w:val="000000"/>
        </w:rPr>
        <w:t xml:space="preserve"> 
Статья 5</w:t>
      </w:r>
    </w:p>
    <w:bookmarkEnd w:id="12"/>
    <w:bookmarkStart w:name="z41" w:id="13"/>
    <w:p>
      <w:pPr>
        <w:spacing w:after="0"/>
        <w:ind w:left="0"/>
        <w:jc w:val="both"/>
      </w:pPr>
      <w:r>
        <w:rPr>
          <w:rFonts w:ascii="Times New Roman"/>
          <w:b w:val="false"/>
          <w:i w:val="false"/>
          <w:color w:val="000000"/>
          <w:sz w:val="28"/>
        </w:rPr>
        <w:t>
      Стороны содействуют в рамках, предусмотренных законодательством государств Сторон, лизингодателям (лизингополучателям) в создании и развитии сервисных центров, предоставляющих хозяйствующим субъектам государств-членов ЕврАзЭС услуги по обслуживанию и ремонту сельскохозяйственной техники, машин, механизмов, оборудования и транспортных средств, поставляемых по договорам международного лизинга.</w:t>
      </w:r>
    </w:p>
    <w:bookmarkEnd w:id="13"/>
    <w:bookmarkStart w:name="z42" w:id="14"/>
    <w:p>
      <w:pPr>
        <w:spacing w:after="0"/>
        <w:ind w:left="0"/>
        <w:jc w:val="left"/>
      </w:pPr>
      <w:r>
        <w:rPr>
          <w:rFonts w:ascii="Times New Roman"/>
          <w:b/>
          <w:i w:val="false"/>
          <w:color w:val="000000"/>
        </w:rPr>
        <w:t xml:space="preserve"> 
Статья 6</w:t>
      </w:r>
    </w:p>
    <w:bookmarkEnd w:id="14"/>
    <w:bookmarkStart w:name="z43" w:id="15"/>
    <w:p>
      <w:pPr>
        <w:spacing w:after="0"/>
        <w:ind w:left="0"/>
        <w:jc w:val="both"/>
      </w:pPr>
      <w:r>
        <w:rPr>
          <w:rFonts w:ascii="Times New Roman"/>
          <w:b w:val="false"/>
          <w:i w:val="false"/>
          <w:color w:val="000000"/>
          <w:sz w:val="28"/>
        </w:rPr>
        <w:t>
      Предмет лизинга может быть застрахован от рисков утраты (гибели), недостачи или повреждения с момента поставки имущества продавцом и до момента окончания срока действия договора лизинга, если иное не предусмотрено этим договором. Стороны, выступающие в качестве страхователя и выгодоприобретателя, а также период страхования предмета лизинга определяются договором лизинга.</w:t>
      </w:r>
    </w:p>
    <w:bookmarkEnd w:id="15"/>
    <w:bookmarkStart w:name="z44" w:id="16"/>
    <w:p>
      <w:pPr>
        <w:spacing w:after="0"/>
        <w:ind w:left="0"/>
        <w:jc w:val="left"/>
      </w:pPr>
      <w:r>
        <w:rPr>
          <w:rFonts w:ascii="Times New Roman"/>
          <w:b/>
          <w:i w:val="false"/>
          <w:color w:val="000000"/>
        </w:rPr>
        <w:t xml:space="preserve"> 
Статья 7</w:t>
      </w:r>
    </w:p>
    <w:bookmarkEnd w:id="16"/>
    <w:bookmarkStart w:name="z45" w:id="17"/>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w:t>
      </w:r>
    </w:p>
    <w:bookmarkEnd w:id="17"/>
    <w:bookmarkStart w:name="z46" w:id="18"/>
    <w:p>
      <w:pPr>
        <w:spacing w:after="0"/>
        <w:ind w:left="0"/>
        <w:jc w:val="left"/>
      </w:pPr>
      <w:r>
        <w:rPr>
          <w:rFonts w:ascii="Times New Roman"/>
          <w:b/>
          <w:i w:val="false"/>
          <w:color w:val="000000"/>
        </w:rPr>
        <w:t xml:space="preserve"> 
Статья 8</w:t>
      </w:r>
    </w:p>
    <w:bookmarkEnd w:id="18"/>
    <w:bookmarkStart w:name="z47" w:id="19"/>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которые оформляются отдельными протоколами.</w:t>
      </w:r>
    </w:p>
    <w:bookmarkEnd w:id="19"/>
    <w:bookmarkStart w:name="z48" w:id="20"/>
    <w:p>
      <w:pPr>
        <w:spacing w:after="0"/>
        <w:ind w:left="0"/>
        <w:jc w:val="left"/>
      </w:pPr>
      <w:r>
        <w:rPr>
          <w:rFonts w:ascii="Times New Roman"/>
          <w:b/>
          <w:i w:val="false"/>
          <w:color w:val="000000"/>
        </w:rPr>
        <w:t xml:space="preserve"> 
Статья 9</w:t>
      </w:r>
    </w:p>
    <w:bookmarkEnd w:id="20"/>
    <w:bookmarkStart w:name="z49" w:id="21"/>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в первую очередь,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таким образом в течение шести месяцев с даты официальной письменной просьбы о проведении консультаций и/или переговоров, направленной одной из Сторон другой Стороне, то, при отсутствии иной договоренности между ними относительно способа его разрешения, любая из Сторон спора может передать спор для рассмотрения в Суд Евразийского экономического сообщества.</w:t>
      </w:r>
    </w:p>
    <w:bookmarkEnd w:id="21"/>
    <w:bookmarkStart w:name="z51" w:id="22"/>
    <w:p>
      <w:pPr>
        <w:spacing w:after="0"/>
        <w:ind w:left="0"/>
        <w:jc w:val="left"/>
      </w:pPr>
      <w:r>
        <w:rPr>
          <w:rFonts w:ascii="Times New Roman"/>
          <w:b/>
          <w:i w:val="false"/>
          <w:color w:val="000000"/>
        </w:rPr>
        <w:t xml:space="preserve"> 
Статья 10</w:t>
      </w:r>
    </w:p>
    <w:bookmarkEnd w:id="22"/>
    <w:bookmarkStart w:name="z52" w:id="23"/>
    <w:p>
      <w:pPr>
        <w:spacing w:after="0"/>
        <w:ind w:left="0"/>
        <w:jc w:val="both"/>
      </w:pPr>
      <w:r>
        <w:rPr>
          <w:rFonts w:ascii="Times New Roman"/>
          <w:b w:val="false"/>
          <w:i w:val="false"/>
          <w:color w:val="000000"/>
          <w:sz w:val="28"/>
        </w:rPr>
        <w:t>
      После вступления в силу настоящее Соглашение открыто для присоединения других государств, принятых в члены ЕврАзЭС. Документы о присоединении к настоящему Соглашению сдаются на хранение депозитарию.</w:t>
      </w:r>
      <w:r>
        <w:br/>
      </w:r>
      <w:r>
        <w:rPr>
          <w:rFonts w:ascii="Times New Roman"/>
          <w:b w:val="false"/>
          <w:i w:val="false"/>
          <w:color w:val="000000"/>
          <w:sz w:val="28"/>
        </w:rPr>
        <w:t>
</w:t>
      </w:r>
      <w:r>
        <w:rPr>
          <w:rFonts w:ascii="Times New Roman"/>
          <w:b w:val="false"/>
          <w:i w:val="false"/>
          <w:color w:val="000000"/>
          <w:sz w:val="28"/>
        </w:rPr>
        <w:t>
      В отношении присоединившихся государств настоящее Соглашение вступает в силу с даты получения депозитарием документа о присоединении.</w:t>
      </w:r>
    </w:p>
    <w:bookmarkEnd w:id="23"/>
    <w:bookmarkStart w:name="z54" w:id="24"/>
    <w:p>
      <w:pPr>
        <w:spacing w:after="0"/>
        <w:ind w:left="0"/>
        <w:jc w:val="left"/>
      </w:pPr>
      <w:r>
        <w:rPr>
          <w:rFonts w:ascii="Times New Roman"/>
          <w:b/>
          <w:i w:val="false"/>
          <w:color w:val="000000"/>
        </w:rPr>
        <w:t xml:space="preserve"> 
Статья 11</w:t>
      </w:r>
    </w:p>
    <w:bookmarkEnd w:id="24"/>
    <w:bookmarkStart w:name="z55" w:id="25"/>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истечения соответствующего пятилетнего периода его действия.</w:t>
      </w:r>
    </w:p>
    <w:bookmarkEnd w:id="25"/>
    <w:bookmarkStart w:name="z56" w:id="26"/>
    <w:p>
      <w:pPr>
        <w:spacing w:after="0"/>
        <w:ind w:left="0"/>
        <w:jc w:val="left"/>
      </w:pPr>
      <w:r>
        <w:rPr>
          <w:rFonts w:ascii="Times New Roman"/>
          <w:b/>
          <w:i w:val="false"/>
          <w:color w:val="000000"/>
        </w:rPr>
        <w:t xml:space="preserve"> 
Статья 12</w:t>
      </w:r>
    </w:p>
    <w:bookmarkEnd w:id="26"/>
    <w:bookmarkStart w:name="z57" w:id="27"/>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которым является Интеграционный Комитет Евразийского экономического сообщества, последнего письменного уведомления о выполнении Сторонами внутригосударственных процедур, необходимых для вступления его в силу.</w:t>
      </w:r>
      <w:r>
        <w:br/>
      </w:r>
      <w:r>
        <w:rPr>
          <w:rFonts w:ascii="Times New Roman"/>
          <w:b w:val="false"/>
          <w:i w:val="false"/>
          <w:color w:val="000000"/>
          <w:sz w:val="28"/>
        </w:rPr>
        <w:t>
</w:t>
      </w:r>
      <w:r>
        <w:rPr>
          <w:rFonts w:ascii="Times New Roman"/>
          <w:b w:val="false"/>
          <w:i w:val="false"/>
          <w:color w:val="000000"/>
          <w:sz w:val="28"/>
        </w:rPr>
        <w:t>
      Настоящее Соглашение действует в течение 5 лет с даты его вступления в силу. По истечении этого срока действие Соглашения автоматически продлевается на последующие пятилетние периоды, если Стороны не примут иного решения.</w:t>
      </w:r>
    </w:p>
    <w:bookmarkEnd w:id="27"/>
    <w:bookmarkStart w:name="z59" w:id="28"/>
    <w:p>
      <w:pPr>
        <w:spacing w:after="0"/>
        <w:ind w:left="0"/>
        <w:jc w:val="both"/>
      </w:pPr>
      <w:r>
        <w:rPr>
          <w:rFonts w:ascii="Times New Roman"/>
          <w:b w:val="false"/>
          <w:i w:val="false"/>
          <w:color w:val="000000"/>
          <w:sz w:val="28"/>
        </w:rPr>
        <w:t>
      Совершено в г._________ "___" _________ 2010 г. в единственном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Интеграционном Комитете ЕврАзЭС, который направит подписавшим Сторонам его заверенную копию.</w:t>
      </w:r>
    </w:p>
    <w:bookmarkEnd w:id="28"/>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Кыргызской</w:t>
      </w:r>
      <w:r>
        <w:br/>
      </w:r>
      <w:r>
        <w:rPr>
          <w:rFonts w:ascii="Times New Roman"/>
          <w:b w:val="false"/>
          <w:i w:val="false"/>
          <w:color w:val="000000"/>
          <w:sz w:val="28"/>
        </w:rPr>
        <w:t>
</w:t>
      </w:r>
      <w:r>
        <w:rPr>
          <w:rFonts w:ascii="Times New Roman"/>
          <w:b w:val="false"/>
          <w:i/>
          <w:color w:val="000000"/>
          <w:sz w:val="28"/>
        </w:rPr>
        <w:t>       Беларусь                 Казахстан               Республики</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Российской                    Республики</w:t>
      </w:r>
      <w:r>
        <w:br/>
      </w:r>
      <w:r>
        <w:rPr>
          <w:rFonts w:ascii="Times New Roman"/>
          <w:b w:val="false"/>
          <w:i w:val="false"/>
          <w:color w:val="000000"/>
          <w:sz w:val="28"/>
        </w:rPr>
        <w:t>
</w:t>
      </w:r>
      <w:r>
        <w:rPr>
          <w:rFonts w:ascii="Times New Roman"/>
          <w:b w:val="false"/>
          <w:i/>
          <w:color w:val="000000"/>
          <w:sz w:val="28"/>
        </w:rPr>
        <w:t>                    Федерации                    Таджикистан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