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07ef" w14:textId="f5c0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прекращении действия Протокола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прекращении действия Протокола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прекращении действия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443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прекращении действия Протокола о таможенном контроле за</w:t>
      </w:r>
      <w:r>
        <w:br/>
      </w:r>
      <w:r>
        <w:rPr>
          <w:rFonts w:ascii="Times New Roman"/>
          <w:b/>
          <w:i w:val="false"/>
          <w:color w:val="000000"/>
        </w:rPr>
        <w:t>
товарами и транспортными средствами, перемещаемыми между</w:t>
      </w:r>
      <w:r>
        <w:br/>
      </w:r>
      <w:r>
        <w:rPr>
          <w:rFonts w:ascii="Times New Roman"/>
          <w:b/>
          <w:i w:val="false"/>
          <w:color w:val="000000"/>
        </w:rPr>
        <w:t>
таможенными органами государств-участников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от 17 февраля 2000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совершенствования международно-правовой базы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действие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даты, следующей за датой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____________ года в одном подлинном экземпляре на русском языке. Подлинный экземпляр хранится в Интеграционном комитете Евразийского экономического сообщества, который направит каждой Стороне его заверенную копию.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  За                      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Правительство          Правительство          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 Республики Беларусь    Республики Казахстан  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  За                             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 Правительство                   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 Российской Федерации           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