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fec0" w14:textId="5def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требованиях к обмену информацией между таможенными органами и иными государственными органами государств-членов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2010 года № 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требованиях к обмену информацией между таможенными органами и иными государственными органами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требованиях к обмену информацией между таможенными органами и иными государственными органами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мая 2010 года № 437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требованиях к обмену информацией между таможенными органами и</w:t>
      </w:r>
      <w:r>
        <w:br/>
      </w:r>
      <w:r>
        <w:rPr>
          <w:rFonts w:ascii="Times New Roman"/>
          <w:b/>
          <w:i w:val="false"/>
          <w:color w:val="000000"/>
        </w:rPr>
        <w:t>
иными государственными органами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государств-членов таможенного союза в рамках Евразийского экономического сообщества,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Таможенном кодексе таможенного союза от 27 ноября 2009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нормативной правовой базы для организации обмена информацией между таможенными органами государств-членов таможенного союза, а также между таможенными органами одного государства-члена таможенного союза и иными государственными органами другого государства-члена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защиты экономических интересов, развития внешней и взаимной торговли государств-членов таможенного союза и повышения эффективности выполнения государственных функций государственными органами государств-членов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государств-членов таможенного союза обмениваются информацией, полученной таможенными органами в соответствии с таможенным законодательством таможенного союза и (или) законодательством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одного государства-члена таможенного союза предоставляют информацию, полученную таможенными органами в соответствии с таможенным законодательством таможенного союза и (или) законодательством государств-членов таможенного союза иному государственному органу другого государства-члена таможенного союза через таможенный орган другого государства-члена таможенного союза в соответствии с таможенным законодательством таможенного союза и настоящим Соглашением.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указанная в статье 1 настоящего Соглашения, формируется из официальных данных таможенных органов и иных государственных органов государств-членов таможенного союза и предоставляется на безвозмездной основе.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обмена информацией между таможенными органами государств-членов таможенного союза определяется заключенными международными соглашениями и иными международными нормативными правовыми актами государств-членов таможенного союза.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между таможенными органами государств-членов таможенного союза с использованием информационных технологий и систем, создаваемых в рамках таможенного союза, осуществляется на уровне центральных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Центральными таможенными органами для целей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таможенный комитет Республики Беларусь,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Комитет таможенного контроля Министерства финансов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таможенная служба Российской Федерации.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реализации требований заключенных международных соглашений и иных международных нормативных правовых актов, указанных в статье 3 настоящего Соглашения и предусматривающих организацию информационного обмена с использованием информационных технологий и систем, таможенными органами государств-членов таможенного союза разрабатываются Технические условия и (или) Технологии информационного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должны определять структуру и форматы информации, а также требования к средствам вычислительной техники, программным средствам, средствам телекоммуникаций, связи и средствам защиты информации и иные технические требования, необходимые для организации информационного обмена.</w:t>
      </w:r>
    </w:p>
    <w:bookmarkEnd w:id="14"/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и иные государственные органы государств-членов таможенного союза обязуются не передавать третьей стороне указанную в статье 1 настоящего Соглашения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под третьей стороной понимается лицо, не участвующее в информационном обмене в соответствии с настоящим Соглашением.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и иные государственные органы государств-членов таможенного союза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обеспечивать достоверность передаваемой информации и в случае необходимости оперативно вносить в нее изменения;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предупреждать о невозможности передачи информации в случае возникновения непредвиденных обстоятельств.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Таможенные органы и иные государственные органы государств-членов таможенного союза, намеревающиеся прекратить передачу информации, должны выразить свое намерение об этом в письменном виде и не менее чем за шесть месяцев.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положений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то, при отсутствии иной договоренности между Сторонами относительно способа разрешения спора, любая из сторон может передать этот спор для рассмотрения в Суд Евразийского экономического сообщества.</w:t>
      </w:r>
    </w:p>
    <w:bookmarkEnd w:id="24"/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выхода из него и присоединения к нему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 "___" _________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Комиссии таможенного союза, которая, являясь депозитарием настоящего Соглашения, направит каждой Стороне его заверенную копию.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 За Правительство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 Республики Казахстан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