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478f" w14:textId="7a24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2006 года №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2010 года № 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января 2010 года № 919 "О внесении изменений и дополнений в Указ Президента Республики Казахстан от 4 мая 2006 года № 111"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624 "Об утверждении Плана мероприятий по реализации Государственной программы социально-экономического развития города Астаны на 2006 - 2010 годы" (САПП Республики Казахстан, 2006 г., № 24, ст. 249)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"Заместителя Премьер-Министра Республики Казахстан - Министра экономики и бюджетного планирования Масимова К.К." заменить словами "Первого заместителя Премьер-Министра Республики Казахстан Шукеева У.Е.";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социально-экономического развития города Астаны на 2006 - 2010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"II этап 2009 - 2010 годы"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2010 года № 289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2006 года № 624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3031"/>
        <w:gridCol w:w="1974"/>
        <w:gridCol w:w="1659"/>
        <w:gridCol w:w="2186"/>
        <w:gridCol w:w="2038"/>
        <w:gridCol w:w="1502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этап 2009-2010 годы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Инвестиционная политика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Развитие инфраструктуры жизнедеятельности города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котлоагрегата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№ 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турбоагрегатов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№ 5,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водогрейной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3 096,8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7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тепломагистрали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ввода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города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00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1 762,9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9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2 170,7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81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Коктал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Водообеспечение и водоотведение
</w:t>
            </w:r>
          </w:p>
        </w:tc>
      </w:tr>
      <w:tr>
        <w:trPr>
          <w:trHeight w:val="7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(JBIC)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8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2004-2010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12 626,9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88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рекультивацией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6 236,3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нити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(Астанинского)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1 275,8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Транспорт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12 873,2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путепроводов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Образование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9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38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3 468,3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7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7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корпусов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81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9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лицея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мест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Здравоохранение
</w:t>
            </w:r>
          </w:p>
        </w:tc>
      </w:tr>
      <w:tr>
        <w:trPr>
          <w:trHeight w:val="60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2 727,1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3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 детская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38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2 953,5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7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3 747,3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коек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36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коек,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женской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крови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Культура и спорт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теннисного корта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киноконцертного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 на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2 864,4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велотрека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Конгресс-Холла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"Шабыт"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пристройкой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2 754,5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кратковре-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менного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Коянды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 оперы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Жилищное строительство и рынок жилья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Благоустройство города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Ишим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3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1 421,7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81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территорий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41,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7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первоочередным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18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Ишим"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4 020,1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6 268,3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81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81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 и ЖКХ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91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Экологическая политика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водостойких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золы-уноса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золоуловителей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теплоэнерге-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города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лагается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Сары-булак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отходов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устойчи-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2030 года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Индустриально-инновационная политика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Источники предполагаемых расходов на реализацию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программы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1773"/>
        <w:gridCol w:w="1653"/>
        <w:gridCol w:w="1713"/>
        <w:gridCol w:w="1713"/>
        <w:gridCol w:w="171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предполагаемых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92 248,3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79 315,3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100 937,6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140 435,4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101 282,6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2 686,0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концессионеров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103 854,2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87 004,1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105 000,1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147 205,8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104 508,6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на реализацию Государственной программы потребуется средства в сумме </w:t>
      </w:r>
      <w:r>
        <w:rPr>
          <w:rFonts w:ascii="Times New Roman"/>
          <w:b/>
          <w:i w:val="false"/>
          <w:color w:val="000000"/>
          <w:sz w:val="28"/>
        </w:rPr>
        <w:t>547 572,8</w:t>
      </w:r>
      <w:r>
        <w:rPr>
          <w:rFonts w:ascii="Times New Roman"/>
          <w:b w:val="false"/>
          <w:i w:val="false"/>
          <w:color w:val="000000"/>
          <w:sz w:val="28"/>
        </w:rPr>
        <w:t xml:space="preserve"> млн. тенге, в том числе за счет средств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514 219,2</w:t>
      </w:r>
      <w:r>
        <w:rPr>
          <w:rFonts w:ascii="Times New Roman"/>
          <w:b w:val="false"/>
          <w:i w:val="false"/>
          <w:color w:val="000000"/>
          <w:sz w:val="28"/>
        </w:rPr>
        <w:t xml:space="preserve"> млн. тенге, местного бюджета </w:t>
      </w:r>
      <w:r>
        <w:rPr>
          <w:rFonts w:ascii="Times New Roman"/>
          <w:b/>
          <w:i w:val="false"/>
          <w:color w:val="000000"/>
          <w:sz w:val="28"/>
        </w:rPr>
        <w:t>31 020,1</w:t>
      </w:r>
      <w:r>
        <w:rPr>
          <w:rFonts w:ascii="Times New Roman"/>
          <w:b w:val="false"/>
          <w:i w:val="false"/>
          <w:color w:val="000000"/>
          <w:sz w:val="28"/>
        </w:rPr>
        <w:t xml:space="preserve"> млн. тенге, за счет средств предприятий, организаций и концессионеров </w:t>
      </w:r>
      <w:r>
        <w:rPr>
          <w:rFonts w:ascii="Times New Roman"/>
          <w:b/>
          <w:i w:val="false"/>
          <w:color w:val="000000"/>
          <w:sz w:val="28"/>
        </w:rPr>
        <w:t>2 333,5</w:t>
      </w:r>
      <w:r>
        <w:rPr>
          <w:rFonts w:ascii="Times New Roman"/>
          <w:b w:val="false"/>
          <w:i w:val="false"/>
          <w:color w:val="000000"/>
          <w:sz w:val="28"/>
        </w:rPr>
        <w:t xml:space="preserve"> млн. тенге.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объемы расходов на 2009-2010 годы будут уточняться в соответствии с законом Республики Казахстан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объектов строительства будут уточняться по мере прохождения государственной экспертизы проектов и их утверждения в установленном порядке.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 и 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ПСД - проектно-сметная документация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 -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 - местный бюджет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