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59c8" w14:textId="09f5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операторами связи сбора и хранения служебной информации об абонентах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2010 года № 246. Утратило силу постановлением Правительства Республики Казахстан от 13 июля 2023 года № 559.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559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внесено изменение на казахском языке, текст на русском языке не изменяется постановлением Правительства РК от 28.04.2018 </w:t>
      </w:r>
      <w:r>
        <w:rPr>
          <w:rFonts w:ascii="Times New Roman"/>
          <w:b w:val="false"/>
          <w:i w:val="false"/>
          <w:color w:val="000000"/>
          <w:sz w:val="28"/>
        </w:rPr>
        <w:t>№ 229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осуществления операторами связи сбора и хранения служебной информации об абонентах.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постановлением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2010 года № 246</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операторами связи сбора и хранения</w:t>
      </w:r>
      <w:r>
        <w:br/>
      </w:r>
      <w:r>
        <w:rPr>
          <w:rFonts w:ascii="Times New Roman"/>
          <w:b/>
          <w:i w:val="false"/>
          <w:color w:val="000000"/>
        </w:rPr>
        <w:t>служебной информации об абонентах</w:t>
      </w:r>
    </w:p>
    <w:bookmarkEnd w:id="3"/>
    <w:p>
      <w:pPr>
        <w:spacing w:after="0"/>
        <w:ind w:left="0"/>
        <w:jc w:val="both"/>
      </w:pPr>
      <w:r>
        <w:rPr>
          <w:rFonts w:ascii="Times New Roman"/>
          <w:b w:val="false"/>
          <w:i w:val="false"/>
          <w:color w:val="ff0000"/>
          <w:sz w:val="28"/>
        </w:rPr>
        <w:t xml:space="preserve">
      Сноска. В заголовок Правил внесено изменение на казахском языке, текст на русском языке не изменяется постановлением Правительства РК от 28.04.2018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Наименование главы 1 в редакции постановления Правительства РК от 28.04.2018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осуществления операторами связи сбора и хранения служебной информации об абонентах (далее – Правила) разработаны в соответствии с законами Республики Казахстан от 15 сентября 1994 года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xml:space="preserve">, от 5 июля 2004 года </w:t>
      </w:r>
      <w:r>
        <w:rPr>
          <w:rFonts w:ascii="Times New Roman"/>
          <w:b w:val="false"/>
          <w:i w:val="false"/>
          <w:color w:val="000000"/>
          <w:sz w:val="28"/>
        </w:rPr>
        <w:t>"О связи"</w:t>
      </w:r>
      <w:r>
        <w:rPr>
          <w:rFonts w:ascii="Times New Roman"/>
          <w:b w:val="false"/>
          <w:i w:val="false"/>
          <w:color w:val="000000"/>
          <w:sz w:val="28"/>
        </w:rPr>
        <w:t xml:space="preserve">, от 6 января 2012 года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xml:space="preserve">,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xml:space="preserve">, от 28 декабря 2016 года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xml:space="preserve"> и определяют порядок осуществления операторами связи Республики Казахстан сбора и хранения служебной информации об абонентах.</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В настоящих Правилах применяются следующие понятия:</w:t>
      </w:r>
    </w:p>
    <w:bookmarkEnd w:id="6"/>
    <w:bookmarkStart w:name="z39" w:id="7"/>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7"/>
    <w:bookmarkStart w:name="z40" w:id="8"/>
    <w:p>
      <w:pPr>
        <w:spacing w:after="0"/>
        <w:ind w:left="0"/>
        <w:jc w:val="both"/>
      </w:pPr>
      <w:r>
        <w:rPr>
          <w:rFonts w:ascii="Times New Roman"/>
          <w:b w:val="false"/>
          <w:i w:val="false"/>
          <w:color w:val="000000"/>
          <w:sz w:val="28"/>
        </w:rPr>
        <w:t>
      2) служебная информация об абонентах – сведения об абонентах,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8"/>
    <w:bookmarkStart w:name="z41" w:id="9"/>
    <w:p>
      <w:pPr>
        <w:spacing w:after="0"/>
        <w:ind w:left="0"/>
        <w:jc w:val="both"/>
      </w:pPr>
      <w:r>
        <w:rPr>
          <w:rFonts w:ascii="Times New Roman"/>
          <w:b w:val="false"/>
          <w:i w:val="false"/>
          <w:color w:val="000000"/>
          <w:sz w:val="28"/>
        </w:rPr>
        <w:t>
      информацию об абонентских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w:t>
      </w:r>
    </w:p>
    <w:bookmarkEnd w:id="9"/>
    <w:bookmarkStart w:name="z42" w:id="10"/>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10"/>
    <w:bookmarkStart w:name="z43" w:id="11"/>
    <w:p>
      <w:pPr>
        <w:spacing w:after="0"/>
        <w:ind w:left="0"/>
        <w:jc w:val="both"/>
      </w:pPr>
      <w:r>
        <w:rPr>
          <w:rFonts w:ascii="Times New Roman"/>
          <w:b w:val="false"/>
          <w:i w:val="false"/>
          <w:color w:val="000000"/>
          <w:sz w:val="28"/>
        </w:rPr>
        <w:t xml:space="preserve">
      биллинговые сведения (сведения о полученных абонентом услугах); </w:t>
      </w:r>
    </w:p>
    <w:bookmarkEnd w:id="11"/>
    <w:bookmarkStart w:name="z44" w:id="12"/>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12"/>
    <w:bookmarkStart w:name="z45" w:id="13"/>
    <w:p>
      <w:pPr>
        <w:spacing w:after="0"/>
        <w:ind w:left="0"/>
        <w:jc w:val="both"/>
      </w:pPr>
      <w:r>
        <w:rPr>
          <w:rFonts w:ascii="Times New Roman"/>
          <w:b w:val="false"/>
          <w:i w:val="false"/>
          <w:color w:val="000000"/>
          <w:sz w:val="28"/>
        </w:rPr>
        <w:t>
      адреса в сети передачи данных;</w:t>
      </w:r>
    </w:p>
    <w:bookmarkEnd w:id="13"/>
    <w:bookmarkStart w:name="z46" w:id="14"/>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14"/>
    <w:bookmarkStart w:name="z47" w:id="15"/>
    <w:p>
      <w:pPr>
        <w:spacing w:after="0"/>
        <w:ind w:left="0"/>
        <w:jc w:val="both"/>
      </w:pPr>
      <w:r>
        <w:rPr>
          <w:rFonts w:ascii="Times New Roman"/>
          <w:b w:val="false"/>
          <w:i w:val="false"/>
          <w:color w:val="000000"/>
          <w:sz w:val="28"/>
        </w:rPr>
        <w:t>
      идентификаторы интернет-ресурса;</w:t>
      </w:r>
    </w:p>
    <w:bookmarkEnd w:id="15"/>
    <w:bookmarkStart w:name="z48" w:id="16"/>
    <w:p>
      <w:pPr>
        <w:spacing w:after="0"/>
        <w:ind w:left="0"/>
        <w:jc w:val="both"/>
      </w:pPr>
      <w:r>
        <w:rPr>
          <w:rFonts w:ascii="Times New Roman"/>
          <w:b w:val="false"/>
          <w:i w:val="false"/>
          <w:color w:val="000000"/>
          <w:sz w:val="28"/>
        </w:rPr>
        <w:t>
      протоколы сети передачи данных;</w:t>
      </w:r>
    </w:p>
    <w:bookmarkEnd w:id="16"/>
    <w:bookmarkStart w:name="z49" w:id="17"/>
    <w:p>
      <w:pPr>
        <w:spacing w:after="0"/>
        <w:ind w:left="0"/>
        <w:jc w:val="both"/>
      </w:pPr>
      <w:r>
        <w:rPr>
          <w:rFonts w:ascii="Times New Roman"/>
          <w:b w:val="false"/>
          <w:i w:val="false"/>
          <w:color w:val="000000"/>
          <w:sz w:val="28"/>
        </w:rPr>
        <w:t>
      3) абонентский номер – номер, выделяемый в пользование абоненту при заключении договора, с помощью которого устанавливается соединение с другим абонентским оборудованием, и позволяющий идентифицировать абонента в сети;</w:t>
      </w:r>
    </w:p>
    <w:bookmarkEnd w:id="17"/>
    <w:bookmarkStart w:name="z50" w:id="18"/>
    <w:p>
      <w:pPr>
        <w:spacing w:after="0"/>
        <w:ind w:left="0"/>
        <w:jc w:val="both"/>
      </w:pPr>
      <w:r>
        <w:rPr>
          <w:rFonts w:ascii="Times New Roman"/>
          <w:b w:val="false"/>
          <w:i w:val="false"/>
          <w:color w:val="000000"/>
          <w:sz w:val="28"/>
        </w:rPr>
        <w:t>
      4) сеть связи – технологическая система, включающая в себя средства и линии связи и предназначенная для телекоммуникаций или почтовой связи;</w:t>
      </w:r>
    </w:p>
    <w:bookmarkEnd w:id="18"/>
    <w:bookmarkStart w:name="z51" w:id="19"/>
    <w:p>
      <w:pPr>
        <w:spacing w:after="0"/>
        <w:ind w:left="0"/>
        <w:jc w:val="both"/>
      </w:pPr>
      <w:r>
        <w:rPr>
          <w:rFonts w:ascii="Times New Roman"/>
          <w:b w:val="false"/>
          <w:i w:val="false"/>
          <w:color w:val="000000"/>
          <w:sz w:val="28"/>
        </w:rPr>
        <w:t>
      5)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3. Требования настоящих Правил распространяются на операторов связи, осуществляющих деятельность по оказанию услуг связи, за исключением почтовой связи (далее - Оператор).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изменяется постановлением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1"/>
    <w:p>
      <w:pPr>
        <w:spacing w:after="0"/>
        <w:ind w:left="0"/>
        <w:jc w:val="left"/>
      </w:pPr>
      <w:r>
        <w:rPr>
          <w:rFonts w:ascii="Times New Roman"/>
          <w:b/>
          <w:i w:val="false"/>
          <w:color w:val="000000"/>
        </w:rPr>
        <w:t xml:space="preserve"> Глава 2. Порядок осуществления операторами связи сбора и хранения служебной информации об абонентах</w:t>
      </w:r>
    </w:p>
    <w:bookmarkEnd w:id="21"/>
    <w:p>
      <w:pPr>
        <w:spacing w:after="0"/>
        <w:ind w:left="0"/>
        <w:jc w:val="both"/>
      </w:pPr>
      <w:r>
        <w:rPr>
          <w:rFonts w:ascii="Times New Roman"/>
          <w:b w:val="false"/>
          <w:i w:val="false"/>
          <w:color w:val="ff0000"/>
          <w:sz w:val="28"/>
        </w:rPr>
        <w:t xml:space="preserve">
      Сноска. Наименование главы 2 в редакции постановления Правительства РК от 28.04.2018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22"/>
    <w:p>
      <w:pPr>
        <w:spacing w:after="0"/>
        <w:ind w:left="0"/>
        <w:jc w:val="both"/>
      </w:pPr>
      <w:r>
        <w:rPr>
          <w:rFonts w:ascii="Times New Roman"/>
          <w:b w:val="false"/>
          <w:i w:val="false"/>
          <w:color w:val="000000"/>
          <w:sz w:val="28"/>
        </w:rPr>
        <w:t xml:space="preserve">
      5. Оператор обеспечивает сбор и хранение служебной информации об абонентах в течение двух лет, по истечении которых информация уничтожается. Оператор несет ответственность, предусмотренную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за нарушение обязанности по сбору и хранению служебной информации об абонентах.</w:t>
      </w:r>
    </w:p>
    <w:bookmarkEnd w:id="22"/>
    <w:bookmarkStart w:name="z20" w:id="23"/>
    <w:p>
      <w:pPr>
        <w:spacing w:after="0"/>
        <w:ind w:left="0"/>
        <w:jc w:val="both"/>
      </w:pPr>
      <w:r>
        <w:rPr>
          <w:rFonts w:ascii="Times New Roman"/>
          <w:b w:val="false"/>
          <w:i w:val="false"/>
          <w:color w:val="000000"/>
          <w:sz w:val="28"/>
        </w:rPr>
        <w:t>
      6. Оператор осуществляет постоянный сбор служебной информации о предоставленных абоненту услугах со средств телекоммуникаций (средств связи) в соответствии с настоящими Правилами и обеспечивает ее хранение в системе Оператора (далее – Система).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6-1. Хранение служебной информации об абонентах осуществляется исключительно на территории Республики Казахстан. Запрещается передача служебной информации об абонентах за пределы Республики Казахстан, за исключением случаев оказания услуг связи абонентам Республики Казахстан, находящимся за рубежом.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7. При модернизации (замене) используемых средств Системы в целях улучшения ее характеристик (при увеличении количества видов оказываемых услуг связи, количества абонентов, возрастании объемов хранимой информации, расширении функциональности Системы) потеря или изменение уже хранящейся информации не допускается.</w:t>
      </w:r>
    </w:p>
    <w:bookmarkEnd w:id="25"/>
    <w:bookmarkStart w:name="z22" w:id="26"/>
    <w:p>
      <w:pPr>
        <w:spacing w:after="0"/>
        <w:ind w:left="0"/>
        <w:jc w:val="both"/>
      </w:pPr>
      <w:r>
        <w:rPr>
          <w:rFonts w:ascii="Times New Roman"/>
          <w:b w:val="false"/>
          <w:i w:val="false"/>
          <w:color w:val="000000"/>
          <w:sz w:val="28"/>
        </w:rPr>
        <w:t>
      8. Оператор получает служебную информацию из имеющихся информационных систем, баз данных и технических средств связи.</w:t>
      </w:r>
    </w:p>
    <w:bookmarkEnd w:id="26"/>
    <w:bookmarkStart w:name="z23" w:id="27"/>
    <w:p>
      <w:pPr>
        <w:spacing w:after="0"/>
        <w:ind w:left="0"/>
        <w:jc w:val="both"/>
      </w:pPr>
      <w:r>
        <w:rPr>
          <w:rFonts w:ascii="Times New Roman"/>
          <w:b w:val="false"/>
          <w:i w:val="false"/>
          <w:color w:val="000000"/>
          <w:sz w:val="28"/>
        </w:rPr>
        <w:t>
      9. Функционально Система состоит из логических модулей, выполняющих функции сбора, хранения, управления и средств защиты. Протокол взаимодействия модулей Системы согласовывается Оператором с органом, осуществляющим контрразведывательную деятельность и оперативно-розыскные мероприятия на сетях связи.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10. Служебная информация об абоненте накапливается в Системе на оборудовании хранения информации.</w:t>
      </w:r>
    </w:p>
    <w:bookmarkEnd w:id="28"/>
    <w:bookmarkStart w:name="z25" w:id="29"/>
    <w:p>
      <w:pPr>
        <w:spacing w:after="0"/>
        <w:ind w:left="0"/>
        <w:jc w:val="both"/>
      </w:pPr>
      <w:r>
        <w:rPr>
          <w:rFonts w:ascii="Times New Roman"/>
          <w:b w:val="false"/>
          <w:i w:val="false"/>
          <w:color w:val="000000"/>
          <w:sz w:val="28"/>
        </w:rPr>
        <w:t>
      Система обеспечивает:</w:t>
      </w:r>
    </w:p>
    <w:bookmarkEnd w:id="29"/>
    <w:bookmarkStart w:name="z26" w:id="30"/>
    <w:p>
      <w:pPr>
        <w:spacing w:after="0"/>
        <w:ind w:left="0"/>
        <w:jc w:val="both"/>
      </w:pPr>
      <w:r>
        <w:rPr>
          <w:rFonts w:ascii="Times New Roman"/>
          <w:b w:val="false"/>
          <w:i w:val="false"/>
          <w:color w:val="000000"/>
          <w:sz w:val="28"/>
        </w:rPr>
        <w:t>
      1) хранение информации об абонентах и информации об оказанных абоненту услугах:</w:t>
      </w:r>
    </w:p>
    <w:bookmarkEnd w:id="30"/>
    <w:bookmarkStart w:name="z53" w:id="31"/>
    <w:p>
      <w:pPr>
        <w:spacing w:after="0"/>
        <w:ind w:left="0"/>
        <w:jc w:val="both"/>
      </w:pPr>
      <w:r>
        <w:rPr>
          <w:rFonts w:ascii="Times New Roman"/>
          <w:b w:val="false"/>
          <w:i w:val="false"/>
          <w:color w:val="000000"/>
          <w:sz w:val="28"/>
        </w:rPr>
        <w:t>
      для юридических лиц – бизнес-идентификационный номер, адрес для доставки счетов;</w:t>
      </w:r>
    </w:p>
    <w:bookmarkEnd w:id="31"/>
    <w:bookmarkStart w:name="z54" w:id="32"/>
    <w:p>
      <w:pPr>
        <w:spacing w:after="0"/>
        <w:ind w:left="0"/>
        <w:jc w:val="both"/>
      </w:pPr>
      <w:r>
        <w:rPr>
          <w:rFonts w:ascii="Times New Roman"/>
          <w:b w:val="false"/>
          <w:i w:val="false"/>
          <w:color w:val="000000"/>
          <w:sz w:val="28"/>
        </w:rPr>
        <w:t>
      для физических лиц – фамилия, имя и отчество (если оно указано в документе, удостоверяющем личность), местожительство, номер и дата выдачи документа, удостоверяющего личность, индивидуальный идентификационный номер, адреса электронной почты, почтовый адрес;</w:t>
      </w:r>
    </w:p>
    <w:bookmarkEnd w:id="32"/>
    <w:bookmarkStart w:name="z55" w:id="33"/>
    <w:p>
      <w:pPr>
        <w:spacing w:after="0"/>
        <w:ind w:left="0"/>
        <w:jc w:val="both"/>
      </w:pPr>
      <w:r>
        <w:rPr>
          <w:rFonts w:ascii="Times New Roman"/>
          <w:b w:val="false"/>
          <w:i w:val="false"/>
          <w:color w:val="000000"/>
          <w:sz w:val="28"/>
        </w:rPr>
        <w:t>
      номера контактных телефонов; адрес установки абонентского оборудования; дата заключения и прекращения действия договора; перечень услуг связи, доступных абоненту; абонентский номер;</w:t>
      </w:r>
    </w:p>
    <w:bookmarkEnd w:id="33"/>
    <w:bookmarkStart w:name="z56" w:id="34"/>
    <w:p>
      <w:pPr>
        <w:spacing w:after="0"/>
        <w:ind w:left="0"/>
        <w:jc w:val="both"/>
      </w:pPr>
      <w:r>
        <w:rPr>
          <w:rFonts w:ascii="Times New Roman"/>
          <w:b w:val="false"/>
          <w:i w:val="false"/>
          <w:color w:val="000000"/>
          <w:sz w:val="28"/>
        </w:rPr>
        <w:t>
      биллинговые сведения – информация по личному счету абонента, информация о пополнении счета, адреса абонентов в сети передачи данных;</w:t>
      </w:r>
    </w:p>
    <w:bookmarkEnd w:id="34"/>
    <w:bookmarkStart w:name="z57" w:id="35"/>
    <w:p>
      <w:pPr>
        <w:spacing w:after="0"/>
        <w:ind w:left="0"/>
        <w:jc w:val="both"/>
      </w:pPr>
      <w:r>
        <w:rPr>
          <w:rFonts w:ascii="Times New Roman"/>
          <w:b w:val="false"/>
          <w:i w:val="false"/>
          <w:color w:val="000000"/>
          <w:sz w:val="28"/>
        </w:rPr>
        <w:t xml:space="preserve">
      адреса абонентов в сети передачи данных и адреса обращения к интернет-ресурсам в сети передачи данных, протоколы сети передачи данных по каждой предоставляемой услуге доступа в сеть интернет, включая: дату и время </w:t>
      </w:r>
      <w:r>
        <w:rPr>
          <w:rFonts w:ascii="Times New Roman"/>
          <w:b w:val="false"/>
          <w:i w:val="false"/>
          <w:color w:val="000000"/>
          <w:sz w:val="28"/>
        </w:rPr>
        <w:t>регистрации</w:t>
      </w:r>
      <w:r>
        <w:rPr>
          <w:rFonts w:ascii="Times New Roman"/>
          <w:b w:val="false"/>
          <w:i w:val="false"/>
          <w:color w:val="000000"/>
          <w:sz w:val="28"/>
        </w:rPr>
        <w:t xml:space="preserve"> абонента в сети с учетом временных поясов; динамический или статический IP-адрес, выделенный для данной сессии; точку выхода в сеть; абонентский номер и идентификационный код абонентского устройства сотовой связи, с которого был осуществлен выход в сеть; объем переданной и принятой информации в течение данной сессии; период времени, в течение которого предоставлялась каждая из услуг; использованный пользователем вид связи, адреса переданного или полученного электронного сообщения, адреса электронной почты почтового сообщения, идентификатор интернет-ресурса, дата и время начала и окончания изменений данных на интернет-ресурсе с учетом временных поясов, а также IP-адрес, с которого происходило изменение;</w:t>
      </w:r>
    </w:p>
    <w:bookmarkEnd w:id="35"/>
    <w:bookmarkStart w:name="z32" w:id="36"/>
    <w:p>
      <w:pPr>
        <w:spacing w:after="0"/>
        <w:ind w:left="0"/>
        <w:jc w:val="both"/>
      </w:pPr>
      <w:r>
        <w:rPr>
          <w:rFonts w:ascii="Times New Roman"/>
          <w:b w:val="false"/>
          <w:i w:val="false"/>
          <w:color w:val="000000"/>
          <w:sz w:val="28"/>
        </w:rPr>
        <w:t>
      2) единый формат хранения;</w:t>
      </w:r>
    </w:p>
    <w:bookmarkEnd w:id="36"/>
    <w:bookmarkStart w:name="z33" w:id="37"/>
    <w:p>
      <w:pPr>
        <w:spacing w:after="0"/>
        <w:ind w:left="0"/>
        <w:jc w:val="both"/>
      </w:pPr>
      <w:r>
        <w:rPr>
          <w:rFonts w:ascii="Times New Roman"/>
          <w:b w:val="false"/>
          <w:i w:val="false"/>
          <w:color w:val="000000"/>
          <w:sz w:val="28"/>
        </w:rPr>
        <w:t>
      3) привязку данных ко времени;</w:t>
      </w:r>
    </w:p>
    <w:bookmarkEnd w:id="37"/>
    <w:bookmarkStart w:name="z34" w:id="38"/>
    <w:p>
      <w:pPr>
        <w:spacing w:after="0"/>
        <w:ind w:left="0"/>
        <w:jc w:val="both"/>
      </w:pPr>
      <w:r>
        <w:rPr>
          <w:rFonts w:ascii="Times New Roman"/>
          <w:b w:val="false"/>
          <w:i w:val="false"/>
          <w:color w:val="000000"/>
          <w:sz w:val="28"/>
        </w:rPr>
        <w:t>
      4) неизменность данных;</w:t>
      </w:r>
    </w:p>
    <w:bookmarkEnd w:id="38"/>
    <w:bookmarkStart w:name="z35" w:id="39"/>
    <w:p>
      <w:pPr>
        <w:spacing w:after="0"/>
        <w:ind w:left="0"/>
        <w:jc w:val="both"/>
      </w:pPr>
      <w:r>
        <w:rPr>
          <w:rFonts w:ascii="Times New Roman"/>
          <w:b w:val="false"/>
          <w:i w:val="false"/>
          <w:color w:val="000000"/>
          <w:sz w:val="28"/>
        </w:rPr>
        <w:t>
      5) полноту и достоверность хранимых данных;</w:t>
      </w:r>
    </w:p>
    <w:bookmarkEnd w:id="39"/>
    <w:bookmarkStart w:name="z36" w:id="40"/>
    <w:p>
      <w:pPr>
        <w:spacing w:after="0"/>
        <w:ind w:left="0"/>
        <w:jc w:val="both"/>
      </w:pPr>
      <w:r>
        <w:rPr>
          <w:rFonts w:ascii="Times New Roman"/>
          <w:b w:val="false"/>
          <w:i w:val="false"/>
          <w:color w:val="000000"/>
          <w:sz w:val="28"/>
        </w:rPr>
        <w:t>
      6) возможность интеграции со средствами оперативно-розыскных мероприятий на сетях телекоммуникаций;</w:t>
      </w:r>
    </w:p>
    <w:bookmarkEnd w:id="40"/>
    <w:bookmarkStart w:name="z37" w:id="41"/>
    <w:p>
      <w:pPr>
        <w:spacing w:after="0"/>
        <w:ind w:left="0"/>
        <w:jc w:val="both"/>
      </w:pPr>
      <w:r>
        <w:rPr>
          <w:rFonts w:ascii="Times New Roman"/>
          <w:b w:val="false"/>
          <w:i w:val="false"/>
          <w:color w:val="000000"/>
          <w:sz w:val="28"/>
        </w:rPr>
        <w:t>
      7) автоматизированный доступ, обеспечивающий прием различных видов запросов о пользователях услуг связи и оказанных им услугах связи, выдача информации и системных отчетов по заданным параметрам;</w:t>
      </w:r>
    </w:p>
    <w:bookmarkEnd w:id="41"/>
    <w:bookmarkStart w:name="z38" w:id="42"/>
    <w:p>
      <w:pPr>
        <w:spacing w:after="0"/>
        <w:ind w:left="0"/>
        <w:jc w:val="both"/>
      </w:pPr>
      <w:r>
        <w:rPr>
          <w:rFonts w:ascii="Times New Roman"/>
          <w:b w:val="false"/>
          <w:i w:val="false"/>
          <w:color w:val="000000"/>
          <w:sz w:val="28"/>
        </w:rPr>
        <w:t>
      8) защиту от несанкционированного доступа к данным Системы с помощью программных и технических средств авторизации.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28.04.2018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