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27cfa" w14:textId="f027c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заемщиков по негосударственным займам, обеспеченным государственными гарантиями, погашение и обслуживание которых предусмотрено в республиканском бюджете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2010 года № 1481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заемщиков по негосударственным займам, обеспеченным государственными гарантиями, погашение и обслуживание которых предусмотрено в республиканском бюджете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1481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заемщиков по негосударственным займам,</w:t>
      </w:r>
      <w:r>
        <w:br/>
      </w:r>
      <w:r>
        <w:rPr>
          <w:rFonts w:ascii="Times New Roman"/>
          <w:b/>
          <w:i w:val="false"/>
          <w:color w:val="000000"/>
        </w:rPr>
        <w:t>
обеспеченным государственными гарантиями, погашение и</w:t>
      </w:r>
      <w:r>
        <w:br/>
      </w:r>
      <w:r>
        <w:rPr>
          <w:rFonts w:ascii="Times New Roman"/>
          <w:b/>
          <w:i w:val="false"/>
          <w:color w:val="000000"/>
        </w:rPr>
        <w:t>
обслуживание которых предусмотрено в республиканском бюджете</w:t>
      </w:r>
      <w:r>
        <w:br/>
      </w:r>
      <w:r>
        <w:rPr>
          <w:rFonts w:ascii="Times New Roman"/>
          <w:b/>
          <w:i w:val="false"/>
          <w:color w:val="000000"/>
        </w:rPr>
        <w:t>
на 2011 год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Акционерное общество "Астана Горкоммунхоз".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Акционерное общество "Казахстанско-Турецкое совместное предприятие "Айт-Отель".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Акционерное общество "Совместное Казахстанско-Турецкое предприятие "Отель Астана".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Акционерное общество "Совместное Казахстанско-Турецкое предприятие "Окан-Казинтер".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акционерная компания "Байланыс-Курылысшы".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