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5ecd" w14:textId="2535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2011 год в размере 0,85 процента к экономически активному населению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