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dd72" w14:textId="c86d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апреля 2005 года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принимает меры, направленные на противодействие коррупции в Министерстве и несет персональную ответственность за принятие антикоррупционных мер;".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