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0adf" w14:textId="0a40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принимает меры, направленные на противодействие коррупции в Министерстве и несет персональную ответственность за принятие антикоррупционных мер.".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