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f348d3" w14:textId="bf348d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Указа Президента Республики Казахстан "О подписании Соглашения о займе (Обычные операции) (Транспортный коридор ЦАРЭС 1 [Участки в Жамбылской области ] [Международный транзитный коридор "Западная Европа - Западный Китай" ] Инвестиционная Программа - Проект 2) между Республикой Казахстан и Азиатским Банком Развития"</w:t>
      </w:r>
    </w:p>
    <w:p>
      <w:pPr>
        <w:spacing w:after="0"/>
        <w:ind w:left="0"/>
        <w:jc w:val="both"/>
      </w:pPr>
      <w:r>
        <w:rPr>
          <w:rFonts w:ascii="Times New Roman"/>
          <w:b w:val="false"/>
          <w:i w:val="false"/>
          <w:color w:val="000000"/>
          <w:sz w:val="28"/>
        </w:rPr>
        <w:t>Постановление Правительства Республики Казахстан от 2 декабря 2009 года № 1984</w:t>
      </w:r>
    </w:p>
    <w:p>
      <w:pPr>
        <w:spacing w:after="0"/>
        <w:ind w:left="0"/>
        <w:jc w:val="both"/>
      </w:pP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br/>
      </w:r>
      <w:r>
        <w:rPr>
          <w:rFonts w:ascii="Times New Roman"/>
          <w:b w:val="false"/>
          <w:i w:val="false"/>
          <w:color w:val="000000"/>
          <w:sz w:val="28"/>
        </w:rPr>
        <w:t>
      внести на рассмотрение Президента Республики Казахстан проект Указа Президента Республики Казахстан "О подписании Соглашения о займе (Обычные операции) (Транспортный коридор ЦАРЭС 1 [Участники в Жамбылской области] [Международный транзитный коридор "Западная Европа - Западный Китай"] Инвестиционная Программа - Проект 2) между Республикой Казахстан и Азиатским Банком Развития".</w:t>
      </w:r>
    </w:p>
    <w:p>
      <w:pPr>
        <w:spacing w:after="0"/>
        <w:ind w:left="0"/>
        <w:jc w:val="both"/>
      </w:pPr>
      <w:r>
        <w:rPr>
          <w:rFonts w:ascii="Times New Roman"/>
          <w:b w:val="false"/>
          <w:i w:val="false"/>
          <w:color w:val="000000"/>
          <w:sz w:val="28"/>
        </w:rPr>
        <w:t>      </w:t>
      </w:r>
      <w:r>
        <w:rPr>
          <w:rFonts w:ascii="Times New Roman"/>
          <w:b w:val="false"/>
          <w:i/>
          <w:color w:val="000000"/>
          <w:sz w:val="28"/>
        </w:rPr>
        <w:t>Премьер-Министр</w:t>
      </w:r>
      <w:r>
        <w:br/>
      </w:r>
      <w:r>
        <w:rPr>
          <w:rFonts w:ascii="Times New Roman"/>
          <w:b w:val="false"/>
          <w:i w:val="false"/>
          <w:color w:val="000000"/>
          <w:sz w:val="28"/>
        </w:rPr>
        <w:t>
      </w:t>
      </w:r>
      <w:r>
        <w:rPr>
          <w:rFonts w:ascii="Times New Roman"/>
          <w:b w:val="false"/>
          <w:i/>
          <w:color w:val="000000"/>
          <w:sz w:val="28"/>
        </w:rPr>
        <w:t>Республики Казахстан</w:t>
      </w:r>
      <w:r>
        <w:rPr>
          <w:rFonts w:ascii="Times New Roman"/>
          <w:b w:val="false"/>
          <w:i w:val="false"/>
          <w:color w:val="000000"/>
          <w:sz w:val="28"/>
        </w:rPr>
        <w:t>                       </w:t>
      </w:r>
      <w:r>
        <w:rPr>
          <w:rFonts w:ascii="Times New Roman"/>
          <w:b w:val="false"/>
          <w:i/>
          <w:color w:val="000000"/>
          <w:sz w:val="28"/>
        </w:rPr>
        <w:t>К. Масимов</w:t>
      </w:r>
    </w:p>
    <w:p>
      <w:pPr>
        <w:spacing w:after="0"/>
        <w:ind w:left="0"/>
        <w:jc w:val="both"/>
      </w:pPr>
      <w:r>
        <w:rPr>
          <w:rFonts w:ascii="Times New Roman"/>
          <w:b/>
          <w:i w:val="false"/>
          <w:color w:val="000080"/>
          <w:sz w:val="28"/>
        </w:rPr>
        <w:t>Указ Президента Республики Казахстан</w:t>
      </w:r>
    </w:p>
    <w:p>
      <w:pPr>
        <w:spacing w:after="0"/>
        <w:ind w:left="0"/>
        <w:jc w:val="both"/>
      </w:pPr>
      <w:r>
        <w:rPr>
          <w:rFonts w:ascii="Times New Roman"/>
          <w:b/>
          <w:i w:val="false"/>
          <w:color w:val="000080"/>
          <w:sz w:val="28"/>
        </w:rPr>
        <w:t>"О подписании Соглашения о займе (Обычные операции)</w:t>
      </w:r>
      <w:r>
        <w:br/>
      </w:r>
      <w:r>
        <w:rPr>
          <w:rFonts w:ascii="Times New Roman"/>
          <w:b w:val="false"/>
          <w:i w:val="false"/>
          <w:color w:val="000000"/>
          <w:sz w:val="28"/>
        </w:rPr>
        <w:t>
</w:t>
      </w:r>
      <w:r>
        <w:rPr>
          <w:rFonts w:ascii="Times New Roman"/>
          <w:b/>
          <w:i w:val="false"/>
          <w:color w:val="000080"/>
          <w:sz w:val="28"/>
        </w:rPr>
        <w:t>(Транспортный коридор ЦАРЭС 1 [Участки в Жамбылской области]</w:t>
      </w:r>
      <w:r>
        <w:br/>
      </w:r>
      <w:r>
        <w:rPr>
          <w:rFonts w:ascii="Times New Roman"/>
          <w:b w:val="false"/>
          <w:i w:val="false"/>
          <w:color w:val="000000"/>
          <w:sz w:val="28"/>
        </w:rPr>
        <w:t>
</w:t>
      </w:r>
      <w:r>
        <w:rPr>
          <w:rFonts w:ascii="Times New Roman"/>
          <w:b/>
          <w:i w:val="false"/>
          <w:color w:val="000080"/>
          <w:sz w:val="28"/>
        </w:rPr>
        <w:t>[Международный транзитный коридор "Западная Европа - Западный Китай"] Инвестиционная Программа - Проект 2) между Республикой</w:t>
      </w:r>
      <w:r>
        <w:br/>
      </w:r>
      <w:r>
        <w:rPr>
          <w:rFonts w:ascii="Times New Roman"/>
          <w:b w:val="false"/>
          <w:i w:val="false"/>
          <w:color w:val="000000"/>
          <w:sz w:val="28"/>
        </w:rPr>
        <w:t>
</w:t>
      </w:r>
      <w:r>
        <w:rPr>
          <w:rFonts w:ascii="Times New Roman"/>
          <w:b/>
          <w:i w:val="false"/>
          <w:color w:val="000080"/>
          <w:sz w:val="28"/>
        </w:rPr>
        <w:t>Казахстан и Азиатским Банком Развития"</w:t>
      </w:r>
    </w:p>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8</w:t>
      </w:r>
      <w:r>
        <w:rPr>
          <w:rFonts w:ascii="Times New Roman"/>
          <w:b w:val="false"/>
          <w:i w:val="false"/>
          <w:color w:val="000000"/>
          <w:sz w:val="28"/>
        </w:rPr>
        <w:t xml:space="preserve"> Закона Республики Казахстан от 30 мая 2005 года "О международных договорах Республики Казахстан" </w:t>
      </w:r>
      <w:r>
        <w:rPr>
          <w:rFonts w:ascii="Times New Roman"/>
          <w:b/>
          <w:i w:val="false"/>
          <w:color w:val="000000"/>
          <w:sz w:val="28"/>
        </w:rPr>
        <w:t>ПОСТАНОВЛЯЮ:</w:t>
      </w:r>
      <w:r>
        <w:br/>
      </w:r>
      <w:r>
        <w:rPr>
          <w:rFonts w:ascii="Times New Roman"/>
          <w:b w:val="false"/>
          <w:i w:val="false"/>
          <w:color w:val="000000"/>
          <w:sz w:val="28"/>
        </w:rPr>
        <w:t>
      1. Одобрить прилагаемый проект Соглашения о займе (Обычные операции) (Транспортный коридор ЦАРЭС 1 [Участки в Жамбылской области] [Международный транзитный коридор "Западная Европа - Западный Китай"] Инвестиционная Программа - Проект 2) между Республикой Казахстан и Азиатским Банком Развития.</w:t>
      </w:r>
      <w:r>
        <w:br/>
      </w:r>
      <w:r>
        <w:rPr>
          <w:rFonts w:ascii="Times New Roman"/>
          <w:b w:val="false"/>
          <w:i w:val="false"/>
          <w:color w:val="000000"/>
          <w:sz w:val="28"/>
        </w:rPr>
        <w:t>
      2. Уполномочить Министра финансов Республики Казахстан Жамишева Болата Бидахметовича подписать от имени Республики Казахстан Соглашение о займе (Обычные операции) (Транспортный коридор ЦАРЭС 1 [Участки в Жамбылской области] [Международный транзитный коридор "Западная Европа - Западный Китай"] Инвестиционная Программа - Проект 2) между Республикой Казахстан и Азиатским Банком Развития.</w:t>
      </w:r>
      <w:r>
        <w:br/>
      </w:r>
      <w:r>
        <w:rPr>
          <w:rFonts w:ascii="Times New Roman"/>
          <w:b w:val="false"/>
          <w:i w:val="false"/>
          <w:color w:val="000000"/>
          <w:sz w:val="28"/>
        </w:rPr>
        <w:t>
      3. Настоящий Указ вводится в действие со дня подписания.</w:t>
      </w:r>
    </w:p>
    <w:p>
      <w:pPr>
        <w:spacing w:after="0"/>
        <w:ind w:left="0"/>
        <w:jc w:val="both"/>
      </w:pPr>
      <w:r>
        <w:rPr>
          <w:rFonts w:ascii="Times New Roman"/>
          <w:b w:val="false"/>
          <w:i w:val="false"/>
          <w:color w:val="000000"/>
          <w:sz w:val="28"/>
        </w:rPr>
        <w:t>      </w:t>
      </w:r>
      <w:r>
        <w:rPr>
          <w:rFonts w:ascii="Times New Roman"/>
          <w:b w:val="false"/>
          <w:i/>
          <w:color w:val="000000"/>
          <w:sz w:val="28"/>
        </w:rPr>
        <w:t>Президент</w:t>
      </w:r>
      <w:r>
        <w:br/>
      </w:r>
      <w:r>
        <w:rPr>
          <w:rFonts w:ascii="Times New Roman"/>
          <w:b w:val="false"/>
          <w:i w:val="false"/>
          <w:color w:val="000000"/>
          <w:sz w:val="28"/>
        </w:rPr>
        <w:t>
      </w:t>
      </w:r>
      <w:r>
        <w:rPr>
          <w:rFonts w:ascii="Times New Roman"/>
          <w:b w:val="false"/>
          <w:i/>
          <w:color w:val="000000"/>
          <w:sz w:val="28"/>
        </w:rPr>
        <w:t>Республики Казахстан</w:t>
      </w:r>
      <w:r>
        <w:rPr>
          <w:rFonts w:ascii="Times New Roman"/>
          <w:b w:val="false"/>
          <w:i w:val="false"/>
          <w:color w:val="000000"/>
          <w:sz w:val="28"/>
        </w:rPr>
        <w:t>                       </w:t>
      </w:r>
      <w:r>
        <w:rPr>
          <w:rFonts w:ascii="Times New Roman"/>
          <w:b w:val="false"/>
          <w:i/>
          <w:color w:val="000000"/>
          <w:sz w:val="28"/>
        </w:rPr>
        <w:t>Н.Назарбаев</w:t>
      </w:r>
    </w:p>
    <w:p>
      <w:pPr>
        <w:spacing w:after="0"/>
        <w:ind w:left="0"/>
        <w:jc w:val="both"/>
      </w:pPr>
      <w:r>
        <w:rPr>
          <w:rFonts w:ascii="Times New Roman"/>
          <w:b w:val="false"/>
          <w:i w:val="false"/>
          <w:color w:val="000000"/>
          <w:sz w:val="28"/>
        </w:rPr>
        <w:t>НОМЕР ЗАЙМА_____-KAZ</w:t>
      </w:r>
    </w:p>
    <w:p>
      <w:pPr>
        <w:spacing w:after="0"/>
        <w:ind w:left="0"/>
        <w:jc w:val="both"/>
      </w:pPr>
      <w:r>
        <w:rPr>
          <w:rFonts w:ascii="Times New Roman"/>
          <w:b w:val="false"/>
          <w:i w:val="false"/>
          <w:color w:val="000000"/>
          <w:sz w:val="28"/>
        </w:rPr>
        <w:t>СОГЛАШЕНИЕ О ЗАЙМЕ</w:t>
      </w:r>
      <w:r>
        <w:br/>
      </w:r>
      <w:r>
        <w:rPr>
          <w:rFonts w:ascii="Times New Roman"/>
          <w:b w:val="false"/>
          <w:i w:val="false"/>
          <w:color w:val="000000"/>
          <w:sz w:val="28"/>
        </w:rPr>
        <w:t>
(Обычные операции)</w:t>
      </w:r>
    </w:p>
    <w:p>
      <w:pPr>
        <w:spacing w:after="0"/>
        <w:ind w:left="0"/>
        <w:jc w:val="both"/>
      </w:pPr>
      <w:r>
        <w:rPr>
          <w:rFonts w:ascii="Times New Roman"/>
          <w:b w:val="false"/>
          <w:i w:val="false"/>
          <w:color w:val="000000"/>
          <w:sz w:val="28"/>
        </w:rPr>
        <w:t>      (Транспортный коридор ЦАРЭС 1 [Участки в Жамбылской области] [Международный транзитный коридор Западная Европа - Западный Китай] ИИвестиционная Программа - Проект 2)</w:t>
      </w:r>
    </w:p>
    <w:p>
      <w:pPr>
        <w:spacing w:after="0"/>
        <w:ind w:left="0"/>
        <w:jc w:val="both"/>
      </w:pPr>
      <w:r>
        <w:rPr>
          <w:rFonts w:ascii="Times New Roman"/>
          <w:b w:val="false"/>
          <w:i w:val="false"/>
          <w:color w:val="000000"/>
          <w:sz w:val="28"/>
        </w:rPr>
        <w:t>между</w:t>
      </w:r>
      <w:r>
        <w:br/>
      </w:r>
      <w:r>
        <w:rPr>
          <w:rFonts w:ascii="Times New Roman"/>
          <w:b w:val="false"/>
          <w:i w:val="false"/>
          <w:color w:val="000000"/>
          <w:sz w:val="28"/>
        </w:rPr>
        <w:t>
РЕСПУБЛИКОЙ КАЗАХСТАН</w:t>
      </w:r>
      <w:r>
        <w:br/>
      </w:r>
      <w:r>
        <w:rPr>
          <w:rFonts w:ascii="Times New Roman"/>
          <w:b w:val="false"/>
          <w:i w:val="false"/>
          <w:color w:val="000000"/>
          <w:sz w:val="28"/>
        </w:rPr>
        <w:t>
и</w:t>
      </w:r>
      <w:r>
        <w:br/>
      </w:r>
      <w:r>
        <w:rPr>
          <w:rFonts w:ascii="Times New Roman"/>
          <w:b w:val="false"/>
          <w:i w:val="false"/>
          <w:color w:val="000000"/>
          <w:sz w:val="28"/>
        </w:rPr>
        <w:t>
АЗИАТСКИМ БАНКОМ РАЗВИТИЯ</w:t>
      </w:r>
    </w:p>
    <w:p>
      <w:pPr>
        <w:spacing w:after="0"/>
        <w:ind w:left="0"/>
        <w:jc w:val="both"/>
      </w:pPr>
      <w:r>
        <w:rPr>
          <w:rFonts w:ascii="Times New Roman"/>
          <w:b w:val="false"/>
          <w:i w:val="false"/>
          <w:color w:val="000000"/>
          <w:sz w:val="28"/>
        </w:rPr>
        <w:t>ДАТА________</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      LAL:KAZ___</w:t>
      </w:r>
    </w:p>
    <w:p>
      <w:pPr>
        <w:spacing w:after="0"/>
        <w:ind w:left="0"/>
        <w:jc w:val="both"/>
      </w:pPr>
      <w:r>
        <w:rPr>
          <w:rFonts w:ascii="Times New Roman"/>
          <w:b w:val="false"/>
          <w:i w:val="false"/>
          <w:color w:val="000000"/>
          <w:sz w:val="28"/>
        </w:rPr>
        <w:t xml:space="preserve">ОДОБРЕН      </w:t>
      </w:r>
      <w:r>
        <w:br/>
      </w:r>
      <w:r>
        <w:rPr>
          <w:rFonts w:ascii="Times New Roman"/>
          <w:b w:val="false"/>
          <w:i w:val="false"/>
          <w:color w:val="000000"/>
          <w:sz w:val="28"/>
        </w:rPr>
        <w:t xml:space="preserve">
Указом Президента </w:t>
      </w:r>
      <w:r>
        <w:br/>
      </w:r>
      <w:r>
        <w:rPr>
          <w:rFonts w:ascii="Times New Roman"/>
          <w:b w:val="false"/>
          <w:i w:val="false"/>
          <w:color w:val="000000"/>
          <w:sz w:val="28"/>
        </w:rPr>
        <w:t>
Республики Казахстан</w:t>
      </w:r>
      <w:r>
        <w:br/>
      </w:r>
      <w:r>
        <w:rPr>
          <w:rFonts w:ascii="Times New Roman"/>
          <w:b w:val="false"/>
          <w:i w:val="false"/>
          <w:color w:val="000000"/>
          <w:sz w:val="28"/>
        </w:rPr>
        <w:t xml:space="preserve">
от " " 2009 года № </w:t>
      </w:r>
    </w:p>
    <w:p>
      <w:pPr>
        <w:spacing w:after="0"/>
        <w:ind w:left="0"/>
        <w:jc w:val="both"/>
      </w:pPr>
      <w:r>
        <w:rPr>
          <w:rFonts w:ascii="Times New Roman"/>
          <w:b/>
          <w:i w:val="false"/>
          <w:color w:val="000080"/>
          <w:sz w:val="28"/>
        </w:rPr>
        <w:t>СОГЛАШЕНИЕ О ЗАЙМЕ</w:t>
      </w:r>
      <w:r>
        <w:br/>
      </w:r>
      <w:r>
        <w:rPr>
          <w:rFonts w:ascii="Times New Roman"/>
          <w:b w:val="false"/>
          <w:i w:val="false"/>
          <w:color w:val="000000"/>
          <w:sz w:val="28"/>
        </w:rPr>
        <w:t>
</w:t>
      </w:r>
      <w:r>
        <w:rPr>
          <w:rFonts w:ascii="Times New Roman"/>
          <w:b/>
          <w:i w:val="false"/>
          <w:color w:val="000080"/>
          <w:sz w:val="28"/>
        </w:rPr>
        <w:t>(Обычные операции)</w:t>
      </w:r>
    </w:p>
    <w:p>
      <w:pPr>
        <w:spacing w:after="0"/>
        <w:ind w:left="0"/>
        <w:jc w:val="both"/>
      </w:pPr>
      <w:r>
        <w:rPr>
          <w:rFonts w:ascii="Times New Roman"/>
          <w:b w:val="false"/>
          <w:i w:val="false"/>
          <w:color w:val="000000"/>
          <w:sz w:val="28"/>
        </w:rPr>
        <w:t>      СОГЛАШЕНИЕ О ЗАЙМЕ от ____________ между РЕСПУБЛИКОЙ КАЗАХСТАН (именуемой в дальнейшем Заемщик) и АЗИАТСКИМ БАНКОМ РАЗВИТИЯ (именуемым в дальнейшем АБР).</w:t>
      </w:r>
    </w:p>
    <w:p>
      <w:pPr>
        <w:spacing w:after="0"/>
        <w:ind w:left="0"/>
        <w:jc w:val="both"/>
      </w:pPr>
      <w:r>
        <w:rPr>
          <w:rFonts w:ascii="Times New Roman"/>
          <w:b w:val="false"/>
          <w:i w:val="false"/>
          <w:color w:val="000000"/>
          <w:sz w:val="28"/>
        </w:rPr>
        <w:t>      ПРИНИМАЯ ВО ВНИМАНИЕ НИЖЕСЛЕДУЮЩЕЕ</w:t>
      </w:r>
    </w:p>
    <w:p>
      <w:pPr>
        <w:spacing w:after="0"/>
        <w:ind w:left="0"/>
        <w:jc w:val="both"/>
      </w:pPr>
      <w:r>
        <w:rPr>
          <w:rFonts w:ascii="Times New Roman"/>
          <w:b w:val="false"/>
          <w:i w:val="false"/>
          <w:color w:val="000000"/>
          <w:sz w:val="28"/>
        </w:rPr>
        <w:t>      (A) согласно рамочному соглашению о финансировании от 13 января 2009 года, заключенному между Заемщиком и АБР, АБР согласился предоставить механизм многотраншевого финансирования (ММФ) в соответствии с нижеследующими условиями Заемщику для финансирования проектов в рамках Инвестиционной Программы Заемщика для участков в Жамбылской области транспортного коридора ЦАРЭС 1 (именуемой в дальнейшем Инвестиционной Программой);</w:t>
      </w:r>
      <w:r>
        <w:br/>
      </w:r>
      <w:r>
        <w:rPr>
          <w:rFonts w:ascii="Times New Roman"/>
          <w:b w:val="false"/>
          <w:i w:val="false"/>
          <w:color w:val="000000"/>
          <w:sz w:val="28"/>
        </w:rPr>
        <w:t>
      (B) посредством предоставления Заемщиком периодического запроса о финансировании от 17 августа 2009 года и далее с поправками от 28 августа 2009 года Заемщик обратился к АБР с просьбой о выделении Займа для целей Проекта, описанного в Приложении 1 настоящего Соглашения о Займе и являющегося частью Инвестиционной Пограммы; а также</w:t>
      </w:r>
      <w:r>
        <w:br/>
      </w:r>
      <w:r>
        <w:rPr>
          <w:rFonts w:ascii="Times New Roman"/>
          <w:b w:val="false"/>
          <w:i w:val="false"/>
          <w:color w:val="000000"/>
          <w:sz w:val="28"/>
        </w:rPr>
        <w:t>
      (C) АБР выразил согласие на предоставление Заемщику Займа из обычных капитальных ресурсов АБР на установленных ниже сроках и условиях;</w:t>
      </w:r>
      <w:r>
        <w:br/>
      </w:r>
      <w:r>
        <w:rPr>
          <w:rFonts w:ascii="Times New Roman"/>
          <w:b w:val="false"/>
          <w:i w:val="false"/>
          <w:color w:val="000000"/>
          <w:sz w:val="28"/>
        </w:rPr>
        <w:t>
      С УЧЕТОМ ВЫШЕИЗЛОЖЕННОГО, стороны настоящего соглашения договорились о следующем:</w:t>
      </w:r>
    </w:p>
    <w:p>
      <w:pPr>
        <w:spacing w:after="0"/>
        <w:ind w:left="0"/>
        <w:jc w:val="both"/>
      </w:pPr>
      <w:r>
        <w:rPr>
          <w:rFonts w:ascii="Times New Roman"/>
          <w:b/>
          <w:i w:val="false"/>
          <w:color w:val="000080"/>
          <w:sz w:val="28"/>
        </w:rPr>
        <w:t>СТАТЬЯ 1</w:t>
      </w:r>
    </w:p>
    <w:p>
      <w:pPr>
        <w:spacing w:after="0"/>
        <w:ind w:left="0"/>
        <w:jc w:val="both"/>
      </w:pPr>
      <w:r>
        <w:rPr>
          <w:rFonts w:ascii="Times New Roman"/>
          <w:b/>
          <w:i w:val="false"/>
          <w:color w:val="000080"/>
          <w:sz w:val="28"/>
        </w:rPr>
        <w:t>Правила предоставления Займа; Определения</w:t>
      </w:r>
    </w:p>
    <w:p>
      <w:pPr>
        <w:spacing w:after="0"/>
        <w:ind w:left="0"/>
        <w:jc w:val="both"/>
      </w:pPr>
      <w:r>
        <w:rPr>
          <w:rFonts w:ascii="Times New Roman"/>
          <w:b w:val="false"/>
          <w:i w:val="false"/>
          <w:color w:val="000000"/>
          <w:sz w:val="28"/>
        </w:rPr>
        <w:t>      Раздел 1.01. Все положения предоставления Займа для обычных операций, применимые к займам по Лондонской межбанковской ставке, выделяющимся из Обычных капитальных ресурсов АБР от 1 июля 2001 года, настоящим считаются применимыми к данному Соглашению о Займе и действующим в полном объеме, как если бы они были изложены в тексте настоящего Соглашения, однако с соблюдением нижеследующих изменений (вышеупомянутые Правила предоставления Займа для обычных операций с изменениями как таковыми в дальнейшем именуются Правила предоставления Займа):</w:t>
      </w:r>
      <w:r>
        <w:br/>
      </w:r>
      <w:r>
        <w:rPr>
          <w:rFonts w:ascii="Times New Roman"/>
          <w:b w:val="false"/>
          <w:i w:val="false"/>
          <w:color w:val="000000"/>
          <w:sz w:val="28"/>
        </w:rPr>
        <w:t>
      (а) Раздел 3.03 удален и заменен нижеследующим:</w:t>
      </w:r>
    </w:p>
    <w:p>
      <w:pPr>
        <w:spacing w:after="0"/>
        <w:ind w:left="0"/>
        <w:jc w:val="both"/>
      </w:pPr>
      <w:r>
        <w:rPr>
          <w:rFonts w:ascii="Times New Roman"/>
          <w:b w:val="false"/>
          <w:i w:val="false"/>
          <w:color w:val="000000"/>
          <w:sz w:val="28"/>
        </w:rPr>
        <w:t>      </w:t>
      </w:r>
      <w:r>
        <w:rPr>
          <w:rFonts w:ascii="Times New Roman"/>
          <w:b/>
          <w:i w:val="false"/>
          <w:color w:val="000000"/>
          <w:sz w:val="28"/>
        </w:rPr>
        <w:t>Комиссия за резервирование; Кредит.</w:t>
      </w:r>
    </w:p>
    <w:p>
      <w:pPr>
        <w:spacing w:after="0"/>
        <w:ind w:left="0"/>
        <w:jc w:val="both"/>
      </w:pPr>
      <w:r>
        <w:rPr>
          <w:rFonts w:ascii="Times New Roman"/>
          <w:b w:val="false"/>
          <w:i w:val="false"/>
          <w:color w:val="000000"/>
          <w:sz w:val="28"/>
        </w:rPr>
        <w:t>      (аа) Заемщик обязуется выплачивать комиссию за резервирование по невостребованной сумме кредита по ставкам и условиям, предусмотренным настоящим Соглашением о Займе.</w:t>
      </w:r>
      <w:r>
        <w:br/>
      </w:r>
      <w:r>
        <w:rPr>
          <w:rFonts w:ascii="Times New Roman"/>
          <w:b w:val="false"/>
          <w:i w:val="false"/>
          <w:color w:val="000000"/>
          <w:sz w:val="28"/>
        </w:rPr>
        <w:t>
      (bb) АБР обязуется предоставить Заемщику кредит по ставкам, обусловленным данным Соглашением о Займе, причем такой кредит не подлежит изменениям до конца срока Займа. АБР обязуется применить сумму данного кредита по отношению к процентам, подлежащим плате Заемщиком.</w:t>
      </w:r>
    </w:p>
    <w:p>
      <w:pPr>
        <w:spacing w:after="0"/>
        <w:ind w:left="0"/>
        <w:jc w:val="both"/>
      </w:pPr>
      <w:r>
        <w:rPr>
          <w:rFonts w:ascii="Times New Roman"/>
          <w:b w:val="false"/>
          <w:i w:val="false"/>
          <w:color w:val="000000"/>
          <w:sz w:val="28"/>
        </w:rPr>
        <w:t>      (b) Раздел 3.06 удален и заменен нижеследующим:</w:t>
      </w:r>
    </w:p>
    <w:p>
      <w:pPr>
        <w:spacing w:after="0"/>
        <w:ind w:left="0"/>
        <w:jc w:val="both"/>
      </w:pPr>
      <w:r>
        <w:rPr>
          <w:rFonts w:ascii="Times New Roman"/>
          <w:b w:val="false"/>
          <w:i w:val="false"/>
          <w:color w:val="000000"/>
          <w:sz w:val="28"/>
        </w:rPr>
        <w:t>      </w:t>
      </w:r>
      <w:r>
        <w:rPr>
          <w:rFonts w:ascii="Times New Roman"/>
          <w:b/>
          <w:i w:val="false"/>
          <w:color w:val="000000"/>
          <w:sz w:val="28"/>
        </w:rPr>
        <w:t>Возмещение.</w:t>
      </w:r>
      <w:r>
        <w:rPr>
          <w:rFonts w:ascii="Times New Roman"/>
          <w:b w:val="false"/>
          <w:i w:val="false"/>
          <w:color w:val="000000"/>
          <w:sz w:val="28"/>
        </w:rPr>
        <w:t xml:space="preserve"> (аа) После каждого уведомления АБР о том, что фиксированный спред, применимый к новым займам будет снижен, АБР обязуется предоставить возмещение каждому Заемщику с невостребованным Займом, к которому применим более высокий фиксированный спред. Сумма возмещения будет определена путем умножения (i) разницы между фиксированным спредом, применимым к невостребованному Займу, и фиксированным спредом, применимым к новым займам (выраженной в виде годового процентного значения), на (ii) основную сумму невостребованного Займа, по которому Заемщик обязуется выплачивать проценты в течение всех процентных периодов, начиная с и после даты вступления в силу сниженного фиксированного спреда, применимого к новым займам.</w:t>
      </w:r>
      <w:r>
        <w:br/>
      </w:r>
      <w:r>
        <w:rPr>
          <w:rFonts w:ascii="Times New Roman"/>
          <w:b w:val="false"/>
          <w:i w:val="false"/>
          <w:color w:val="000000"/>
          <w:sz w:val="28"/>
        </w:rPr>
        <w:t>
      (bb) После каждого уведомления АБР о том, что его расчеты маржи стоимости финансирования в отношении любой валюты Займа (или утвержденной валюты) в любом полугодии привели к экономии средств АБР, АБР обязуется предоставить возмещение Заемщику. Сумма возмещения будет определена путем умножения (i) маржи стоимости финансирования (выраженной в виде годового процентного значения) на (ii) основную сумму Займа, по которой Заемщик обязуется выплачивать проценты в течение процентного периода, начинающегося непосредственно после полугодия, для которого была рассчитана маржа стоимости финансирования, АБР обязуется вычесть сумму возмещения к процентам, подлежащим оплате Заемщиком в течение процентного периода, начинающегося незамедлительно после полугодия, для которого была рассчитана маржа стоимости финансирования.</w:t>
      </w:r>
    </w:p>
    <w:p>
      <w:pPr>
        <w:spacing w:after="0"/>
        <w:ind w:left="0"/>
        <w:jc w:val="both"/>
      </w:pPr>
      <w:r>
        <w:rPr>
          <w:rFonts w:ascii="Times New Roman"/>
          <w:b w:val="false"/>
          <w:i w:val="false"/>
          <w:color w:val="000000"/>
          <w:sz w:val="28"/>
        </w:rPr>
        <w:t>      (с) Раздел 3.07 удален и заменен нижеследующим:</w:t>
      </w:r>
    </w:p>
    <w:p>
      <w:pPr>
        <w:spacing w:after="0"/>
        <w:ind w:left="0"/>
        <w:jc w:val="both"/>
      </w:pPr>
      <w:r>
        <w:rPr>
          <w:rFonts w:ascii="Times New Roman"/>
          <w:b w:val="false"/>
          <w:i w:val="false"/>
          <w:color w:val="000000"/>
          <w:sz w:val="28"/>
        </w:rPr>
        <w:t>      </w:t>
      </w:r>
      <w:r>
        <w:rPr>
          <w:rFonts w:ascii="Times New Roman"/>
          <w:b/>
          <w:i w:val="false"/>
          <w:color w:val="000000"/>
          <w:sz w:val="28"/>
        </w:rPr>
        <w:t>Дополнительная сумма.</w:t>
      </w:r>
      <w:r>
        <w:rPr>
          <w:rFonts w:ascii="Times New Roman"/>
          <w:b w:val="false"/>
          <w:i w:val="false"/>
          <w:color w:val="000000"/>
          <w:sz w:val="28"/>
        </w:rPr>
        <w:t xml:space="preserve"> (аа) После каждого уведомления АБР о том, что фиксированный спред, применимый к новым займам, будет увеличен, каждый Заемщик с невостребованным Займом, к которому применим более низкий фиксированный спред, обязуется выплатить АБР дополнительную сумму. Данная сумма будет определена путем умножения (i) разницы между фиксированным спредом, применимым к новым займам, и фиксированным спредом, применимым к невостребованному Займу, (выраженной в виде годового процентного значения) на (ii) основную сумму невостребованного Займа, по которой Заемщик обязуется выплачивать проценты в течение всех процентных периодов, начиная с и после момента даты вступления в силу повышенного фиксированного спреда, применимого к новым займам.</w:t>
      </w:r>
      <w:r>
        <w:br/>
      </w:r>
      <w:r>
        <w:rPr>
          <w:rFonts w:ascii="Times New Roman"/>
          <w:b w:val="false"/>
          <w:i w:val="false"/>
          <w:color w:val="000000"/>
          <w:sz w:val="28"/>
        </w:rPr>
        <w:t>
      (bb) После каждого уведомления АБР о том, что его расчеты маржи стоимости финансирования в отношении любой валюты Займа (или утвержденной валюты) в любом полугодии привели к дополнительным затратам, понесенным АБР, Заемщик обязуется выплатить АБР дополнительную сумму. Данная сумма будет определена путем умножения (i) маржи стоимости финансирования (в виде годового процентного значения) на (ii) основную сумму Займа, по которой Заемщик обязуется выплачивать проценты в течение процентного периода, начинающегося незамедлительно после полугодия, для которого была рассчитана маржа стоимости финансирования. АБР обязуется прибавить сумму дополнительной оплаты к процентам, подлежащим к оплате Заемщиком в течение процентного периода, начинающегося незамедлительно после полугодия, для которого была рассчитана маржа стоимости финансирования.</w:t>
      </w:r>
      <w:r>
        <w:br/>
      </w:r>
      <w:r>
        <w:rPr>
          <w:rFonts w:ascii="Times New Roman"/>
          <w:b w:val="false"/>
          <w:i w:val="false"/>
          <w:color w:val="000000"/>
          <w:sz w:val="28"/>
        </w:rPr>
        <w:t>
      Раздел 1.02. При каждом случае употребления в настоящем Соглашении о Займе, если иное не требуется по контексту, следующие термины, получившие определение в Правилах предоставления Займа, имеют соответствующие значения, а также несколько дополнительных терминов имеют нижеследующие определения:</w:t>
      </w:r>
      <w:r>
        <w:br/>
      </w:r>
      <w:r>
        <w:rPr>
          <w:rFonts w:ascii="Times New Roman"/>
          <w:b w:val="false"/>
          <w:i w:val="false"/>
          <w:color w:val="000000"/>
          <w:sz w:val="28"/>
        </w:rPr>
        <w:t>
      (a) "Транспортный коридор ЦАРЭС 1" - означает Международный транзитный коридор "Западная Европа - Западный Китай", проходящий от Хоргоса на границе с Китайской Народной Республикой (КНР) через Алматы и Шымкент до западной границы с Российской Федерацией;</w:t>
      </w:r>
      <w:r>
        <w:br/>
      </w:r>
      <w:r>
        <w:rPr>
          <w:rFonts w:ascii="Times New Roman"/>
          <w:b w:val="false"/>
          <w:i w:val="false"/>
          <w:color w:val="000000"/>
          <w:sz w:val="28"/>
        </w:rPr>
        <w:t>
      (b) "Руководство по привлечению консультационных услуг" означает Руководство АБР по привлечению услуг консультантов Азиатским Банком Развития и его Заемщиками (от 2007 года, с периодическими поправками);</w:t>
      </w:r>
      <w:r>
        <w:br/>
      </w:r>
      <w:r>
        <w:rPr>
          <w:rFonts w:ascii="Times New Roman"/>
          <w:b w:val="false"/>
          <w:i w:val="false"/>
          <w:color w:val="000000"/>
          <w:sz w:val="28"/>
        </w:rPr>
        <w:t>
      (c) "КАД" означает Комитет автомобильных дорог МТК Заемщика и любой его правопреемник;</w:t>
      </w:r>
      <w:r>
        <w:br/>
      </w:r>
      <w:r>
        <w:rPr>
          <w:rFonts w:ascii="Times New Roman"/>
          <w:b w:val="false"/>
          <w:i w:val="false"/>
          <w:color w:val="000000"/>
          <w:sz w:val="28"/>
        </w:rPr>
        <w:t>
      (d) "КЭОО" означает концепцию экологической оценки и обзора, согласованную между Заемщиком и АБР и включенную посредством ссылки в Приложение 5 к РСФ;</w:t>
      </w:r>
      <w:r>
        <w:br/>
      </w:r>
      <w:r>
        <w:rPr>
          <w:rFonts w:ascii="Times New Roman"/>
          <w:b w:val="false"/>
          <w:i w:val="false"/>
          <w:color w:val="000000"/>
          <w:sz w:val="28"/>
        </w:rPr>
        <w:t>
      (e) "ОВОС" означает Оценку воздействия на окружающую среду, подготовленную для Проекта Заемщиком и согласованную с АБР;</w:t>
      </w:r>
      <w:r>
        <w:br/>
      </w:r>
      <w:r>
        <w:rPr>
          <w:rFonts w:ascii="Times New Roman"/>
          <w:b w:val="false"/>
          <w:i w:val="false"/>
          <w:color w:val="000000"/>
          <w:sz w:val="28"/>
        </w:rPr>
        <w:t>
      (f) "ПООС" означает План охраны окружающей среды, включенный в Оценку воздействия на окружающую среду (ОВОС);</w:t>
      </w:r>
      <w:r>
        <w:br/>
      </w:r>
      <w:r>
        <w:rPr>
          <w:rFonts w:ascii="Times New Roman"/>
          <w:b w:val="false"/>
          <w:i w:val="false"/>
          <w:color w:val="000000"/>
          <w:sz w:val="28"/>
        </w:rPr>
        <w:t>
      (g) "Товары" означает оборудование и материалы, подлежащие финансированию из средств Займа, в том числе связанные с ними услуги, такие как транспортировка, страхование, установка, ввод в эксплуатацию, обучение, и первоначальное обслуживание, но исключающие консультационные услуги;</w:t>
      </w:r>
      <w:r>
        <w:br/>
      </w:r>
      <w:r>
        <w:rPr>
          <w:rFonts w:ascii="Times New Roman"/>
          <w:b w:val="false"/>
          <w:i w:val="false"/>
          <w:color w:val="000000"/>
          <w:sz w:val="28"/>
        </w:rPr>
        <w:t>
      (h) "Механизм" означает многотраншевый механизм финансирования, предоставленный АБР Заемщику для целей финансирования проектов в рамках Инвестиционной Программы;</w:t>
      </w:r>
      <w:r>
        <w:br/>
      </w:r>
      <w:r>
        <w:rPr>
          <w:rFonts w:ascii="Times New Roman"/>
          <w:b w:val="false"/>
          <w:i w:val="false"/>
          <w:color w:val="000000"/>
          <w:sz w:val="28"/>
        </w:rPr>
        <w:t>
      (i) "РСФ" означает рамочное соглашение о финансировании от 13 января 2009 года, заключенное между АБР и Заемщиком в отношении Механизма;</w:t>
      </w:r>
      <w:r>
        <w:br/>
      </w:r>
      <w:r>
        <w:rPr>
          <w:rFonts w:ascii="Times New Roman"/>
          <w:b w:val="false"/>
          <w:i w:val="false"/>
          <w:color w:val="000000"/>
          <w:sz w:val="28"/>
        </w:rPr>
        <w:t>
      (j) "Инвестиционная Программа" имеет значение, данное в декларативной части (А) настоящего Соглашения о Займе;</w:t>
      </w:r>
      <w:r>
        <w:br/>
      </w:r>
      <w:r>
        <w:rPr>
          <w:rFonts w:ascii="Times New Roman"/>
          <w:b w:val="false"/>
          <w:i w:val="false"/>
          <w:color w:val="000000"/>
          <w:sz w:val="28"/>
        </w:rPr>
        <w:t>
      (к) "Руководство по выплате Займа" означает Руководство АБР по выплате Займа (от 2007 года с периодическими поправками);</w:t>
      </w:r>
      <w:r>
        <w:br/>
      </w:r>
      <w:r>
        <w:rPr>
          <w:rFonts w:ascii="Times New Roman"/>
          <w:b w:val="false"/>
          <w:i w:val="false"/>
          <w:color w:val="000000"/>
          <w:sz w:val="28"/>
        </w:rPr>
        <w:t>
      (l) "км" означает километр;</w:t>
      </w:r>
      <w:r>
        <w:br/>
      </w:r>
      <w:r>
        <w:rPr>
          <w:rFonts w:ascii="Times New Roman"/>
          <w:b w:val="false"/>
          <w:i w:val="false"/>
          <w:color w:val="000000"/>
          <w:sz w:val="28"/>
        </w:rPr>
        <w:t>
      (m) "ОВЗП" означает Основы выкупа земель и переселения, согласованные между Заемщиком и АБР и включенные посредством ссылки в Приложении 5 РСФ;</w:t>
      </w:r>
      <w:r>
        <w:br/>
      </w:r>
      <w:r>
        <w:rPr>
          <w:rFonts w:ascii="Times New Roman"/>
          <w:b w:val="false"/>
          <w:i w:val="false"/>
          <w:color w:val="000000"/>
          <w:sz w:val="28"/>
        </w:rPr>
        <w:t>
      (n) "ПВЗП" означает План выкупа земель и переселения в рамках Проекта;</w:t>
      </w:r>
      <w:r>
        <w:br/>
      </w:r>
      <w:r>
        <w:rPr>
          <w:rFonts w:ascii="Times New Roman"/>
          <w:b w:val="false"/>
          <w:i w:val="false"/>
          <w:color w:val="000000"/>
          <w:sz w:val="28"/>
        </w:rPr>
        <w:t>
      (о) "Заем 2503-KAZ" означает Соглашение о Займе между Заемщиком и АБР от 30 марта 2009 года;</w:t>
      </w:r>
      <w:r>
        <w:br/>
      </w:r>
      <w:r>
        <w:rPr>
          <w:rFonts w:ascii="Times New Roman"/>
          <w:b w:val="false"/>
          <w:i w:val="false"/>
          <w:color w:val="000000"/>
          <w:sz w:val="28"/>
        </w:rPr>
        <w:t>
      (р) "МФ" означает Министерство финансов Заемщика и любой его правопреемник;</w:t>
      </w:r>
      <w:r>
        <w:br/>
      </w:r>
      <w:r>
        <w:rPr>
          <w:rFonts w:ascii="Times New Roman"/>
          <w:b w:val="false"/>
          <w:i w:val="false"/>
          <w:color w:val="000000"/>
          <w:sz w:val="28"/>
        </w:rPr>
        <w:t>
      (q) "MTK" означает Министерство транспорта и коммуникаций Заемщика;</w:t>
      </w:r>
      <w:r>
        <w:br/>
      </w:r>
      <w:r>
        <w:rPr>
          <w:rFonts w:ascii="Times New Roman"/>
          <w:b w:val="false"/>
          <w:i w:val="false"/>
          <w:color w:val="000000"/>
          <w:sz w:val="28"/>
        </w:rPr>
        <w:t>
      (r) "ПЗФ" означает периодический запрос на финансирование, представленный или представляемый Заемщиком с целью получения Займа в рамках Механизма и для целей настоящего Соглашения о Займе означает периодический запрос на финансирование от 17 августа 2009 года с дальнейшими поправками от 28 августа 2009 года;</w:t>
      </w:r>
      <w:r>
        <w:br/>
      </w:r>
      <w:r>
        <w:rPr>
          <w:rFonts w:ascii="Times New Roman"/>
          <w:b w:val="false"/>
          <w:i w:val="false"/>
          <w:color w:val="000000"/>
          <w:sz w:val="28"/>
        </w:rPr>
        <w:t>
      (s) "КУП-АБР" означает группу консультантов по управлению Проектом, создаваемую в рамках Займа 2503-KAZ;</w:t>
      </w:r>
      <w:r>
        <w:br/>
      </w:r>
      <w:r>
        <w:rPr>
          <w:rFonts w:ascii="Times New Roman"/>
          <w:b w:val="false"/>
          <w:i w:val="false"/>
          <w:color w:val="000000"/>
          <w:sz w:val="28"/>
        </w:rPr>
        <w:t>
      (t) "КНР" означает Китайскую Народную Республику;</w:t>
      </w:r>
      <w:r>
        <w:br/>
      </w:r>
      <w:r>
        <w:rPr>
          <w:rFonts w:ascii="Times New Roman"/>
          <w:b w:val="false"/>
          <w:i w:val="false"/>
          <w:color w:val="000000"/>
          <w:sz w:val="28"/>
        </w:rPr>
        <w:t>
      (u) "Руководство по закупкам" означает Руководство по закупкам АБР (от 2007 года, с периодическими поправками);</w:t>
      </w:r>
      <w:r>
        <w:br/>
      </w:r>
      <w:r>
        <w:rPr>
          <w:rFonts w:ascii="Times New Roman"/>
          <w:b w:val="false"/>
          <w:i w:val="false"/>
          <w:color w:val="000000"/>
          <w:sz w:val="28"/>
        </w:rPr>
        <w:t>
      (v) "План закупок" означает план закупок для Проекта от 28 сентября 2009 года, согласованный между Заемщиком и АБР, с периодическими обновлениями в соответствии c Руководством по закупкам, Руководством по привлечению консультационных услуг и прочими мероприятиями, согласованными с АБР;</w:t>
      </w:r>
      <w:r>
        <w:br/>
      </w:r>
      <w:r>
        <w:rPr>
          <w:rFonts w:ascii="Times New Roman"/>
          <w:b w:val="false"/>
          <w:i w:val="false"/>
          <w:color w:val="000000"/>
          <w:sz w:val="28"/>
        </w:rPr>
        <w:t>
      (w) "Проект", общее определение которому дано в Правилах предоставления Займа, означает Проект, описание которому дано в Приложении 1 к настоящему Соглашению о Займе;</w:t>
      </w:r>
      <w:r>
        <w:br/>
      </w:r>
      <w:r>
        <w:rPr>
          <w:rFonts w:ascii="Times New Roman"/>
          <w:b w:val="false"/>
          <w:i w:val="false"/>
          <w:color w:val="000000"/>
          <w:sz w:val="28"/>
        </w:rPr>
        <w:t>
      (х) "Территория Проекта" означает Жамбылскую область Заемщика;</w:t>
      </w:r>
      <w:r>
        <w:br/>
      </w:r>
      <w:r>
        <w:rPr>
          <w:rFonts w:ascii="Times New Roman"/>
          <w:b w:val="false"/>
          <w:i w:val="false"/>
          <w:color w:val="000000"/>
          <w:sz w:val="28"/>
        </w:rPr>
        <w:t>
      (у) "Исполнительное Агентство по Проекту" или "ИА", для целей и в рамках определения Правил предоставления Займа, означает МТК и любого его правоприемника, ответственного за исполнение Проекта;</w:t>
      </w:r>
      <w:r>
        <w:br/>
      </w:r>
      <w:r>
        <w:rPr>
          <w:rFonts w:ascii="Times New Roman"/>
          <w:b w:val="false"/>
          <w:i w:val="false"/>
          <w:color w:val="000000"/>
          <w:sz w:val="28"/>
        </w:rPr>
        <w:t>
      (z) "Проектные объекты" означают объекты, которые будут построены либо предоставлены в рамках Проекта;</w:t>
      </w:r>
      <w:r>
        <w:br/>
      </w:r>
      <w:r>
        <w:rPr>
          <w:rFonts w:ascii="Times New Roman"/>
          <w:b w:val="false"/>
          <w:i w:val="false"/>
          <w:color w:val="000000"/>
          <w:sz w:val="28"/>
        </w:rPr>
        <w:t>
      (аа) "Проектная дорога" означает участки Транспортного коридора ЦАРЭС 1 с км 310,5 по км 389,4 на территории Проекта, подлежащие реконструкции в рамках Проекта;</w:t>
      </w:r>
      <w:r>
        <w:br/>
      </w:r>
      <w:r>
        <w:rPr>
          <w:rFonts w:ascii="Times New Roman"/>
          <w:b w:val="false"/>
          <w:i w:val="false"/>
          <w:color w:val="000000"/>
          <w:sz w:val="28"/>
        </w:rPr>
        <w:t>
      (bb) "Область" означает административную единицу Заемщика;</w:t>
      </w:r>
      <w:r>
        <w:br/>
      </w:r>
      <w:r>
        <w:rPr>
          <w:rFonts w:ascii="Times New Roman"/>
          <w:b w:val="false"/>
          <w:i w:val="false"/>
          <w:color w:val="000000"/>
          <w:sz w:val="28"/>
        </w:rPr>
        <w:t>
      (cc) "Работы" означают строительство или строительные работы, финансируемые за счет средств Займа, включая такие услуги как бурение или картографирование, и услуги, относящиеся к Проекту, оказываемые как часть единого обязательства либо контракта на строительство "под ключ", за исключением консультационных услуг.</w:t>
      </w:r>
    </w:p>
    <w:p>
      <w:pPr>
        <w:spacing w:after="0"/>
        <w:ind w:left="0"/>
        <w:jc w:val="both"/>
      </w:pPr>
      <w:r>
        <w:rPr>
          <w:rFonts w:ascii="Times New Roman"/>
          <w:b/>
          <w:i w:val="false"/>
          <w:color w:val="000080"/>
          <w:sz w:val="28"/>
        </w:rPr>
        <w:t>СТАТЬЯ 2</w:t>
      </w:r>
    </w:p>
    <w:p>
      <w:pPr>
        <w:spacing w:after="0"/>
        <w:ind w:left="0"/>
        <w:jc w:val="both"/>
      </w:pPr>
      <w:r>
        <w:rPr>
          <w:rFonts w:ascii="Times New Roman"/>
          <w:b/>
          <w:i w:val="false"/>
          <w:color w:val="000080"/>
          <w:sz w:val="28"/>
        </w:rPr>
        <w:t>Заем</w:t>
      </w:r>
    </w:p>
    <w:p>
      <w:pPr>
        <w:spacing w:after="0"/>
        <w:ind w:left="0"/>
        <w:jc w:val="both"/>
      </w:pPr>
      <w:r>
        <w:rPr>
          <w:rFonts w:ascii="Times New Roman"/>
          <w:b w:val="false"/>
          <w:i w:val="false"/>
          <w:color w:val="000000"/>
          <w:sz w:val="28"/>
        </w:rPr>
        <w:t>      Раздел 2.01. (а) АБР соглашается предоставить заем Заемщику из обычных капитальных ресурсов АБР на сумму сто восемьдесят семь миллионов долларов США ($ 187,000,000), причем данная сумма может быть периодически конвертирована в рамках Конвертации в соответствии с положениями Раздела 2.06 настоящего Соглашения о Займе.</w:t>
      </w:r>
      <w:r>
        <w:br/>
      </w:r>
      <w:r>
        <w:rPr>
          <w:rFonts w:ascii="Times New Roman"/>
          <w:b w:val="false"/>
          <w:i w:val="false"/>
          <w:color w:val="000000"/>
          <w:sz w:val="28"/>
        </w:rPr>
        <w:t>
      (b) Заем предполагает период основного погашения двадцать (20) лет, и льготный период согласно пункту (с) данного Раздела.</w:t>
      </w:r>
      <w:r>
        <w:br/>
      </w:r>
      <w:r>
        <w:rPr>
          <w:rFonts w:ascii="Times New Roman"/>
          <w:b w:val="false"/>
          <w:i w:val="false"/>
          <w:color w:val="000000"/>
          <w:sz w:val="28"/>
        </w:rPr>
        <w:t>
      (c) Определение "льготный период", используемое в пункте (b) данного Раздела означает период, предшествующий первой Дате платежа в погашение основной суммы Займа в соответствии с графиком погашения, изложенным в Приложении 2 настоящего Соглашения о Займе.</w:t>
      </w:r>
      <w:r>
        <w:br/>
      </w:r>
      <w:r>
        <w:rPr>
          <w:rFonts w:ascii="Times New Roman"/>
          <w:b w:val="false"/>
          <w:i w:val="false"/>
          <w:color w:val="000000"/>
          <w:sz w:val="28"/>
        </w:rPr>
        <w:t>
      Раздел 2.02. Заемщик обязуется выплачивать АБР проценты на основную сумму Займа, востребованного и невостребованного, периодически по ставке каждого процентного периода, равной сумме Лондонской межбанковской ставки и 0.60% в год согласно Разделу 3.02 Правил предоставления Займа, минус кредит 0.40% в год согласно Разделу 3.03 Правил предоставления Займа.</w:t>
      </w:r>
      <w:r>
        <w:br/>
      </w:r>
      <w:r>
        <w:rPr>
          <w:rFonts w:ascii="Times New Roman"/>
          <w:b w:val="false"/>
          <w:i w:val="false"/>
          <w:color w:val="000000"/>
          <w:sz w:val="28"/>
        </w:rPr>
        <w:t>
      Раздел 2.03. Заемщик обязуется выплачивать комиссию за резервирование в сумме 0.15% ежегодно. Данная комиссия начисляется на полную сумму Займа (минус суммы, снимаемые периодически), начиная с момента даты по истечении шестидесяти (60) дней после даты подписания данного Соглашения о Займе.</w:t>
      </w:r>
      <w:r>
        <w:br/>
      </w:r>
      <w:r>
        <w:rPr>
          <w:rFonts w:ascii="Times New Roman"/>
          <w:b w:val="false"/>
          <w:i w:val="false"/>
          <w:color w:val="000000"/>
          <w:sz w:val="28"/>
        </w:rPr>
        <w:t>
      Раздел 2.04. Проценты и прочие выплаты по Займу подлежат оплате один раз в полугодие 1 апреля и 1 октября каждого года.</w:t>
      </w:r>
      <w:r>
        <w:br/>
      </w:r>
      <w:r>
        <w:rPr>
          <w:rFonts w:ascii="Times New Roman"/>
          <w:b w:val="false"/>
          <w:i w:val="false"/>
          <w:color w:val="000000"/>
          <w:sz w:val="28"/>
        </w:rPr>
        <w:t>
      Раздел 2.05. Заемщик обязуется выплатить основную сумму Займа, востребованную с Ссудного счета в соответствии с положениями Приложения 2 настоящего Соглашения о Займе.</w:t>
      </w:r>
      <w:r>
        <w:br/>
      </w:r>
      <w:r>
        <w:rPr>
          <w:rFonts w:ascii="Times New Roman"/>
          <w:b w:val="false"/>
          <w:i w:val="false"/>
          <w:color w:val="000000"/>
          <w:sz w:val="28"/>
        </w:rPr>
        <w:t>
      Раздел 2.06. (а) Заемщик вправе в любое время запросить любую из нижеследующих конвертаций Займа с целью обеспечения рационального регулирования долга:</w:t>
      </w:r>
      <w:r>
        <w:br/>
      </w:r>
      <w:r>
        <w:rPr>
          <w:rFonts w:ascii="Times New Roman"/>
          <w:b w:val="false"/>
          <w:i w:val="false"/>
          <w:color w:val="000000"/>
          <w:sz w:val="28"/>
        </w:rPr>
        <w:t>
      (i) Изменение валюты Займа полной или частичной суммы Займа, выплаченной и невостребованной или невыплаченной, на утвержденную валюту;</w:t>
      </w:r>
      <w:r>
        <w:br/>
      </w:r>
      <w:r>
        <w:rPr>
          <w:rFonts w:ascii="Times New Roman"/>
          <w:b w:val="false"/>
          <w:i w:val="false"/>
          <w:color w:val="000000"/>
          <w:sz w:val="28"/>
        </w:rPr>
        <w:t>
      (ii) Изменение базовой процентной ставки, применимой к полной или частичной основной сумме Займа, востребованного и невостребованного, с плавающей процентной ставки на фиксированную и наоборот; и</w:t>
      </w:r>
      <w:r>
        <w:br/>
      </w:r>
      <w:r>
        <w:rPr>
          <w:rFonts w:ascii="Times New Roman"/>
          <w:b w:val="false"/>
          <w:i w:val="false"/>
          <w:color w:val="000000"/>
          <w:sz w:val="28"/>
        </w:rPr>
        <w:t>
      (iii) Установление лимитов на плавающую процентную ставку, применимую к полной или частичной основной сумме Займа, востребованного или невостребованного, путем установления фиксированного максимума процентной ставки или минимума любой указанной плавающей процентной ставки.</w:t>
      </w:r>
      <w:r>
        <w:br/>
      </w:r>
      <w:r>
        <w:rPr>
          <w:rFonts w:ascii="Times New Roman"/>
          <w:b w:val="false"/>
          <w:i w:val="false"/>
          <w:color w:val="000000"/>
          <w:sz w:val="28"/>
        </w:rPr>
        <w:t>
      (b) Любой запрос об изменениях, в соответствии с пунктом (а) данного Раздела, одобренный АБР, следует считать "Конвертацией" по определению Раздела 2.01(6) Правил предоставления Займа, и вступающим в силу в соответствии с положениями Статьи V Правил предоставления Займа и Руководства по Конвертации.</w:t>
      </w:r>
    </w:p>
    <w:p>
      <w:pPr>
        <w:spacing w:after="0"/>
        <w:ind w:left="0"/>
        <w:jc w:val="both"/>
      </w:pPr>
      <w:r>
        <w:rPr>
          <w:rFonts w:ascii="Times New Roman"/>
          <w:b/>
          <w:i w:val="false"/>
          <w:color w:val="000080"/>
          <w:sz w:val="28"/>
        </w:rPr>
        <w:t>СТАТЬЯ 3</w:t>
      </w:r>
    </w:p>
    <w:p>
      <w:pPr>
        <w:spacing w:after="0"/>
        <w:ind w:left="0"/>
        <w:jc w:val="both"/>
      </w:pPr>
      <w:r>
        <w:rPr>
          <w:rFonts w:ascii="Times New Roman"/>
          <w:b/>
          <w:i w:val="false"/>
          <w:color w:val="000080"/>
          <w:sz w:val="28"/>
        </w:rPr>
        <w:t>Использование средств Займа</w:t>
      </w:r>
    </w:p>
    <w:p>
      <w:pPr>
        <w:spacing w:after="0"/>
        <w:ind w:left="0"/>
        <w:jc w:val="both"/>
      </w:pPr>
      <w:r>
        <w:rPr>
          <w:rFonts w:ascii="Times New Roman"/>
          <w:b w:val="false"/>
          <w:i w:val="false"/>
          <w:color w:val="000000"/>
          <w:sz w:val="28"/>
        </w:rPr>
        <w:t>      Раздел 3.01. Заемщик обязуется использовать средства Займа на финансирование затрат по Проекту в соответствии с положениями настоящего Соглашения о Займе.</w:t>
      </w:r>
      <w:r>
        <w:br/>
      </w:r>
      <w:r>
        <w:rPr>
          <w:rFonts w:ascii="Times New Roman"/>
          <w:b w:val="false"/>
          <w:i w:val="false"/>
          <w:color w:val="000000"/>
          <w:sz w:val="28"/>
        </w:rPr>
        <w:t>
      Раздел 3.02. Товары, работы и консультационные услуги, а также прочие расходы, финансируемые за счет средств Займа, и распределение сумм Займа по различным категориям товаров, работ, консультационных услуг и прочих статей расходов должны производиться в соответствии с положениями Приложения 3 настоящего Соглашения о Займе, при этом допустимы периодические изменения в данном Приложении по согласию между Заемщиком и АБР.</w:t>
      </w:r>
      <w:r>
        <w:br/>
      </w:r>
      <w:r>
        <w:rPr>
          <w:rFonts w:ascii="Times New Roman"/>
          <w:b w:val="false"/>
          <w:i w:val="false"/>
          <w:color w:val="000000"/>
          <w:sz w:val="28"/>
        </w:rPr>
        <w:t>
      Раздел 3.03. Если АБР не указано иное, все товары, работы и консультационные услуги, финансируемые за счет средств Займа, должны закупаться в соответствии с положениями Приложения 4 настоящего Соглашения о Займе. АБР вправе отказать в финансировании контракта, по которому товары, работы или консультационные услуги не были в значительной степени закуплены в рамках процедур, оговоренных Заемщиком и АБР, либо в случае, если сроки и условия контракта не удовлетворяют требованиям АБР.</w:t>
      </w:r>
      <w:r>
        <w:br/>
      </w:r>
      <w:r>
        <w:rPr>
          <w:rFonts w:ascii="Times New Roman"/>
          <w:b w:val="false"/>
          <w:i w:val="false"/>
          <w:color w:val="000000"/>
          <w:sz w:val="28"/>
        </w:rPr>
        <w:t>
      Раздел 3.04. Если АБР не согласен на иное, Заемщик обязуется обеспечить, чтобы все товары, работы и консультационные услуги, финансируемые за счет средств Займа, были использованы исключительно в целях исполнения Проекта.</w:t>
      </w:r>
      <w:r>
        <w:br/>
      </w:r>
      <w:r>
        <w:rPr>
          <w:rFonts w:ascii="Times New Roman"/>
          <w:b w:val="false"/>
          <w:i w:val="false"/>
          <w:color w:val="000000"/>
          <w:sz w:val="28"/>
        </w:rPr>
        <w:t>
      Раздел 3.05. Дата закрытия для снятия средств со счета Займа для целей, изложенных в Разделе 9.02. Правил предоставления Займа, считается 30 июня 2015 года, либо такая другая дата, согласовыванная между Заемщиком и АБР.</w:t>
      </w:r>
    </w:p>
    <w:p>
      <w:pPr>
        <w:spacing w:after="0"/>
        <w:ind w:left="0"/>
        <w:jc w:val="both"/>
      </w:pPr>
      <w:r>
        <w:rPr>
          <w:rFonts w:ascii="Times New Roman"/>
          <w:b/>
          <w:i w:val="false"/>
          <w:color w:val="000080"/>
          <w:sz w:val="28"/>
        </w:rPr>
        <w:t>СТАТЬЯ 4</w:t>
      </w:r>
    </w:p>
    <w:p>
      <w:pPr>
        <w:spacing w:after="0"/>
        <w:ind w:left="0"/>
        <w:jc w:val="both"/>
      </w:pPr>
      <w:r>
        <w:rPr>
          <w:rFonts w:ascii="Times New Roman"/>
          <w:b/>
          <w:i w:val="false"/>
          <w:color w:val="000080"/>
          <w:sz w:val="28"/>
        </w:rPr>
        <w:t>Особые условия</w:t>
      </w:r>
    </w:p>
    <w:p>
      <w:pPr>
        <w:spacing w:after="0"/>
        <w:ind w:left="0"/>
        <w:jc w:val="both"/>
      </w:pPr>
      <w:r>
        <w:rPr>
          <w:rFonts w:ascii="Times New Roman"/>
          <w:b w:val="false"/>
          <w:i w:val="false"/>
          <w:color w:val="000000"/>
          <w:sz w:val="28"/>
        </w:rPr>
        <w:t>      Раздел 4.01. (а) Заемщик обязуется обеспечить исполнять Проект с должной ответственностью и эффективностью и в соответствии с рациональными административными, финансовыми, инженерными, экологическими и социальными мерами безопасности, процедурами строительства, технического обслуживания и эксплуатации дорог.</w:t>
      </w:r>
      <w:r>
        <w:br/>
      </w:r>
      <w:r>
        <w:rPr>
          <w:rFonts w:ascii="Times New Roman"/>
          <w:b w:val="false"/>
          <w:i w:val="false"/>
          <w:color w:val="000000"/>
          <w:sz w:val="28"/>
        </w:rPr>
        <w:t>
      (b) В процессе реализации Проекта и эксплуатации Проектных объектов Заемщик обязуется исполнять либо обеспечить исполнение всех обязательств, изложенных в Приложении 5 настоящего Соглашения о Займе.</w:t>
      </w:r>
      <w:r>
        <w:br/>
      </w:r>
      <w:r>
        <w:rPr>
          <w:rFonts w:ascii="Times New Roman"/>
          <w:b w:val="false"/>
          <w:i w:val="false"/>
          <w:color w:val="000000"/>
          <w:sz w:val="28"/>
        </w:rPr>
        <w:t>
      Раздел 4.02. Заемщик обязуется незамедлительно, по мере необходимости, обеспечить, дополнительно к средствам Займа, средства, объекты, услуги, земельные участки и прочие ресурсы, необходимые для исполнения Проекта и для эксплуатации и технического обслуживания Проектных объектов.</w:t>
      </w:r>
      <w:r>
        <w:br/>
      </w:r>
      <w:r>
        <w:rPr>
          <w:rFonts w:ascii="Times New Roman"/>
          <w:b w:val="false"/>
          <w:i w:val="false"/>
          <w:color w:val="000000"/>
          <w:sz w:val="28"/>
        </w:rPr>
        <w:t>
      Раздел 4.03. (а) В процессе реализации Проекта Заемщик обязуется обеспечить привлечение компетентных и квалифицированных консультантов и подрядчиков, приемлемых для АБР, в степени и на срок и на условиях, отвечающих требованиям Заемщика и АБР.</w:t>
      </w:r>
      <w:r>
        <w:br/>
      </w:r>
      <w:r>
        <w:rPr>
          <w:rFonts w:ascii="Times New Roman"/>
          <w:b w:val="false"/>
          <w:i w:val="false"/>
          <w:color w:val="000000"/>
          <w:sz w:val="28"/>
        </w:rPr>
        <w:t>
      (b) Заемщик обязуется обеспечить реализацию Проекта в соответствии с планами, стандартами проектирования, спецификациями, графиками работ и строительными методами, приемлемыми для АБР. Заемщик обязуется предоставить либо обеспечить предоставление АБР, незамедлительно после их подготовки, данных планов, стандартов проектирования, спецификаций и графиков работ, а также любых существенных изменений в указанные документы, сделанных впоследствии со степенью детальности, которую обоснованно потребует АБР.</w:t>
      </w:r>
      <w:r>
        <w:br/>
      </w:r>
      <w:r>
        <w:rPr>
          <w:rFonts w:ascii="Times New Roman"/>
          <w:b w:val="false"/>
          <w:i w:val="false"/>
          <w:color w:val="000000"/>
          <w:sz w:val="28"/>
        </w:rPr>
        <w:t>
      Раздел 4.04. Заемщик обязуется обеспечить, чтобы все действия его департаментов и организаций в отношении исполнения Проекта и эксплуатации Проектных объектов производятся и координируются в соответствии с рациональными административной политикой и процедурами.</w:t>
      </w:r>
      <w:r>
        <w:br/>
      </w:r>
      <w:r>
        <w:rPr>
          <w:rFonts w:ascii="Times New Roman"/>
          <w:b w:val="false"/>
          <w:i w:val="false"/>
          <w:color w:val="000000"/>
          <w:sz w:val="28"/>
        </w:rPr>
        <w:t>
      Раздел 4.05. (а) Заемщик обязуется (i) вести либо обеспечить ведение отдельных счетов для Проекта; (ii) проводить ежегодный аудит данных счетов и соответствующих финансовых отчетов в соответствии с четким применением соответствующих стандартов аудита, с привлечением независимых аудиторов, чьи квалификация, опыт работы и сфера компетенции отвечают требованиям АБР; (iii) предоставить АБР, по мере получения, но ни в коей мере не позже чем по истечении шести (6) месяцев с момента окончания каждого соответствующего фискального года, заверенные копии данных счетов и финансовых отчетов, прошедших аудит, и соответствующий отчет аудиторов (включая заключение аудиторов в отношении использования средств Займа и соответствие финансовым условиям настоящего Соглашения о Займе), на английском языке; а также (iv) предоставить АБР прочую информацию, имеющую отношение к данным счетам и финансовым отчетам и аудиту, по периодичекому обоснованному требованию АБР.</w:t>
      </w:r>
      <w:r>
        <w:br/>
      </w:r>
      <w:r>
        <w:rPr>
          <w:rFonts w:ascii="Times New Roman"/>
          <w:b w:val="false"/>
          <w:i w:val="false"/>
          <w:color w:val="000000"/>
          <w:sz w:val="28"/>
        </w:rPr>
        <w:t>
      (b) Заемщик обязуется предоставить АБР право, по требованию АБР, периодически обсуждать финансовые отчеты Заемщика для Проекта и его финансовые дела, имеющие отношение к Проекту, с аудиторами, нанятыми Заемщиком в соответствии с вышеуказанным Разделом 4.05(a) и обязуется уполномочить и потребовать, чтобы любой из представителей аудиторов принял участие в данном обсуждении, по запросу АБР, при условии, что любое такое обсуждение будет проводиться только в присутствии уполномоченного представителя Заемщика, если Заемщик не согласился на иное.</w:t>
      </w:r>
      <w:r>
        <w:br/>
      </w:r>
      <w:r>
        <w:rPr>
          <w:rFonts w:ascii="Times New Roman"/>
          <w:b w:val="false"/>
          <w:i w:val="false"/>
          <w:color w:val="000000"/>
          <w:sz w:val="28"/>
        </w:rPr>
        <w:t>
      Раздел 4.06. Заемщик обязуется предоставить возможность представителям АБР инспектировать Проект и Проектные объекты, финансируемые за счет средств Займа, а также любые соответствующие записи и документы.</w:t>
      </w:r>
      <w:r>
        <w:br/>
      </w:r>
      <w:r>
        <w:rPr>
          <w:rFonts w:ascii="Times New Roman"/>
          <w:b w:val="false"/>
          <w:i w:val="false"/>
          <w:color w:val="000000"/>
          <w:sz w:val="28"/>
        </w:rPr>
        <w:t>
      Раздел 4.07. Заемщик обязуется обеспечить, чтобы все Проектные объекты эксплуатировались, обслуживались и ремонтировались в соответствии с рациональными административными, финансовыми, инженерными, экологическими и социальными мерами безопасности, а также в соответствии с процедурами эксплуатации и технического обслуживания дорог.</w:t>
      </w:r>
    </w:p>
    <w:p>
      <w:pPr>
        <w:spacing w:after="0"/>
        <w:ind w:left="0"/>
        <w:jc w:val="both"/>
      </w:pPr>
      <w:r>
        <w:rPr>
          <w:rFonts w:ascii="Times New Roman"/>
          <w:b/>
          <w:i w:val="false"/>
          <w:color w:val="000080"/>
          <w:sz w:val="28"/>
        </w:rPr>
        <w:t>СТАТЬЯ 5</w:t>
      </w:r>
    </w:p>
    <w:p>
      <w:pPr>
        <w:spacing w:after="0"/>
        <w:ind w:left="0"/>
        <w:jc w:val="both"/>
      </w:pPr>
      <w:r>
        <w:rPr>
          <w:rFonts w:ascii="Times New Roman"/>
          <w:b/>
          <w:i w:val="false"/>
          <w:color w:val="000080"/>
          <w:sz w:val="28"/>
        </w:rPr>
        <w:t>Вступление в силу</w:t>
      </w:r>
    </w:p>
    <w:p>
      <w:pPr>
        <w:spacing w:after="0"/>
        <w:ind w:left="0"/>
        <w:jc w:val="both"/>
      </w:pPr>
      <w:r>
        <w:rPr>
          <w:rFonts w:ascii="Times New Roman"/>
          <w:b w:val="false"/>
          <w:i w:val="false"/>
          <w:color w:val="000000"/>
          <w:sz w:val="28"/>
        </w:rPr>
        <w:t>      Раздел 5.01. Дата по истечении шестидесяти (60) дней после даты подписания настоящего Соглашения о Займе считается датой вступления в силу Соглашения о Займе для целей, изложенных в Разделе 10.04 Правил предоставления Займа.</w:t>
      </w:r>
    </w:p>
    <w:p>
      <w:pPr>
        <w:spacing w:after="0"/>
        <w:ind w:left="0"/>
        <w:jc w:val="both"/>
      </w:pPr>
      <w:r>
        <w:rPr>
          <w:rFonts w:ascii="Times New Roman"/>
          <w:b/>
          <w:i w:val="false"/>
          <w:color w:val="000080"/>
          <w:sz w:val="28"/>
        </w:rPr>
        <w:t>СТАТЬЯ 6</w:t>
      </w:r>
    </w:p>
    <w:p>
      <w:pPr>
        <w:spacing w:after="0"/>
        <w:ind w:left="0"/>
        <w:jc w:val="both"/>
      </w:pPr>
      <w:r>
        <w:rPr>
          <w:rFonts w:ascii="Times New Roman"/>
          <w:b/>
          <w:i w:val="false"/>
          <w:color w:val="000080"/>
          <w:sz w:val="28"/>
        </w:rPr>
        <w:t>Прочие положения</w:t>
      </w:r>
    </w:p>
    <w:p>
      <w:pPr>
        <w:spacing w:after="0"/>
        <w:ind w:left="0"/>
        <w:jc w:val="both"/>
      </w:pPr>
      <w:r>
        <w:rPr>
          <w:rFonts w:ascii="Times New Roman"/>
          <w:b w:val="false"/>
          <w:i w:val="false"/>
          <w:color w:val="000000"/>
          <w:sz w:val="28"/>
        </w:rPr>
        <w:t>      Раздел 6.01. Министр финансов Заемщика выступает в качестве представителя Заемщика для целей, изложенных в Разделе 12.02 Правил предоставления Займа.</w:t>
      </w:r>
      <w:r>
        <w:br/>
      </w:r>
      <w:r>
        <w:rPr>
          <w:rFonts w:ascii="Times New Roman"/>
          <w:b w:val="false"/>
          <w:i w:val="false"/>
          <w:color w:val="000000"/>
          <w:sz w:val="28"/>
        </w:rPr>
        <w:t>
      Раздел 6.02. Нижеследующие реквизиты указаны для целей, изложенных в Разделе 12.01 Правил предоставления Займа:</w:t>
      </w:r>
    </w:p>
    <w:p>
      <w:pPr>
        <w:spacing w:after="0"/>
        <w:ind w:left="0"/>
        <w:jc w:val="both"/>
      </w:pPr>
      <w:r>
        <w:rPr>
          <w:rFonts w:ascii="Times New Roman"/>
          <w:b w:val="false"/>
          <w:i w:val="false"/>
          <w:color w:val="000000"/>
          <w:sz w:val="28"/>
        </w:rPr>
        <w:t xml:space="preserve">За </w:t>
      </w:r>
      <w:r>
        <w:rPr>
          <w:rFonts w:ascii="Times New Roman"/>
          <w:b w:val="false"/>
          <w:i w:val="false"/>
          <w:color w:val="000000"/>
          <w:sz w:val="28"/>
          <w:u w:val="single"/>
        </w:rPr>
        <w:t>Заемщика</w:t>
      </w:r>
    </w:p>
    <w:p>
      <w:pPr>
        <w:spacing w:after="0"/>
        <w:ind w:left="0"/>
        <w:jc w:val="both"/>
      </w:pPr>
      <w:r>
        <w:rPr>
          <w:rFonts w:ascii="Times New Roman"/>
          <w:b w:val="false"/>
          <w:i w:val="false"/>
          <w:color w:val="000000"/>
          <w:sz w:val="28"/>
        </w:rPr>
        <w:t>      Министерство финансов</w:t>
      </w:r>
      <w:r>
        <w:br/>
      </w:r>
      <w:r>
        <w:rPr>
          <w:rFonts w:ascii="Times New Roman"/>
          <w:b w:val="false"/>
          <w:i w:val="false"/>
          <w:color w:val="000000"/>
          <w:sz w:val="28"/>
        </w:rPr>
        <w:t>
      Проспект Победы, 11</w:t>
      </w:r>
      <w:r>
        <w:br/>
      </w:r>
      <w:r>
        <w:rPr>
          <w:rFonts w:ascii="Times New Roman"/>
          <w:b w:val="false"/>
          <w:i w:val="false"/>
          <w:color w:val="000000"/>
          <w:sz w:val="28"/>
        </w:rPr>
        <w:t>
      Астана, 010000</w:t>
      </w:r>
      <w:r>
        <w:br/>
      </w:r>
      <w:r>
        <w:rPr>
          <w:rFonts w:ascii="Times New Roman"/>
          <w:b w:val="false"/>
          <w:i w:val="false"/>
          <w:color w:val="000000"/>
          <w:sz w:val="28"/>
        </w:rPr>
        <w:t>
      Республика Казахстан</w:t>
      </w:r>
    </w:p>
    <w:p>
      <w:pPr>
        <w:spacing w:after="0"/>
        <w:ind w:left="0"/>
        <w:jc w:val="both"/>
      </w:pPr>
      <w:r>
        <w:rPr>
          <w:rFonts w:ascii="Times New Roman"/>
          <w:b w:val="false"/>
          <w:i w:val="false"/>
          <w:color w:val="000000"/>
          <w:sz w:val="28"/>
        </w:rPr>
        <w:t>      Факс:</w:t>
      </w:r>
      <w:r>
        <w:br/>
      </w:r>
      <w:r>
        <w:rPr>
          <w:rFonts w:ascii="Times New Roman"/>
          <w:b w:val="false"/>
          <w:i w:val="false"/>
          <w:color w:val="000000"/>
          <w:sz w:val="28"/>
        </w:rPr>
        <w:t>
      +7(7172)71 77 85</w:t>
      </w:r>
    </w:p>
    <w:p>
      <w:pPr>
        <w:spacing w:after="0"/>
        <w:ind w:left="0"/>
        <w:jc w:val="both"/>
      </w:pPr>
      <w:r>
        <w:rPr>
          <w:rFonts w:ascii="Times New Roman"/>
          <w:b w:val="false"/>
          <w:i w:val="false"/>
          <w:color w:val="000000"/>
          <w:sz w:val="28"/>
        </w:rPr>
        <w:t xml:space="preserve">За </w:t>
      </w:r>
      <w:r>
        <w:rPr>
          <w:rFonts w:ascii="Times New Roman"/>
          <w:b w:val="false"/>
          <w:i w:val="false"/>
          <w:color w:val="000000"/>
          <w:sz w:val="28"/>
          <w:u w:val="single"/>
        </w:rPr>
        <w:t>АБР</w:t>
      </w:r>
    </w:p>
    <w:p>
      <w:pPr>
        <w:spacing w:after="0"/>
        <w:ind w:left="0"/>
        <w:jc w:val="both"/>
      </w:pPr>
      <w:r>
        <w:rPr>
          <w:rFonts w:ascii="Times New Roman"/>
          <w:b w:val="false"/>
          <w:i w:val="false"/>
          <w:color w:val="000000"/>
          <w:sz w:val="28"/>
        </w:rPr>
        <w:t>      Asian Development Bank</w:t>
      </w:r>
      <w:r>
        <w:br/>
      </w:r>
      <w:r>
        <w:rPr>
          <w:rFonts w:ascii="Times New Roman"/>
          <w:b w:val="false"/>
          <w:i w:val="false"/>
          <w:color w:val="000000"/>
          <w:sz w:val="28"/>
        </w:rPr>
        <w:t>
      P.O. Box 789</w:t>
      </w:r>
      <w:r>
        <w:br/>
      </w:r>
      <w:r>
        <w:rPr>
          <w:rFonts w:ascii="Times New Roman"/>
          <w:b w:val="false"/>
          <w:i w:val="false"/>
          <w:color w:val="000000"/>
          <w:sz w:val="28"/>
        </w:rPr>
        <w:t>
      0980 Manila, Philippines</w:t>
      </w:r>
    </w:p>
    <w:p>
      <w:pPr>
        <w:spacing w:after="0"/>
        <w:ind w:left="0"/>
        <w:jc w:val="both"/>
      </w:pPr>
      <w:r>
        <w:rPr>
          <w:rFonts w:ascii="Times New Roman"/>
          <w:b w:val="false"/>
          <w:i w:val="false"/>
          <w:color w:val="000000"/>
          <w:sz w:val="28"/>
        </w:rPr>
        <w:t>      Факс:</w:t>
      </w:r>
      <w:r>
        <w:br/>
      </w:r>
      <w:r>
        <w:rPr>
          <w:rFonts w:ascii="Times New Roman"/>
          <w:b w:val="false"/>
          <w:i w:val="false"/>
          <w:color w:val="000000"/>
          <w:sz w:val="28"/>
        </w:rPr>
        <w:t>
      (632) 636-2444</w:t>
      </w:r>
      <w:r>
        <w:br/>
      </w:r>
      <w:r>
        <w:rPr>
          <w:rFonts w:ascii="Times New Roman"/>
          <w:b w:val="false"/>
          <w:i w:val="false"/>
          <w:color w:val="000000"/>
          <w:sz w:val="28"/>
        </w:rPr>
        <w:t>
      (632) 636-2428.</w:t>
      </w:r>
    </w:p>
    <w:p>
      <w:pPr>
        <w:spacing w:after="0"/>
        <w:ind w:left="0"/>
        <w:jc w:val="both"/>
      </w:pPr>
      <w:r>
        <w:rPr>
          <w:rFonts w:ascii="Times New Roman"/>
          <w:b w:val="false"/>
          <w:i w:val="false"/>
          <w:color w:val="000000"/>
          <w:sz w:val="28"/>
        </w:rPr>
        <w:t>      В ПОДТВЕРЖДЕНИЕ ВЫШЕИЗЛОЖЕННОГО стороны настоящего Соглашения в лице их уполномоченных представителей обеспечили подписание настоящего Соглашения о Займе соответствующими подписями и его доставку в штаб-квартиру АБР в день и год указанные выше.</w:t>
      </w:r>
    </w:p>
    <w:p>
      <w:pPr>
        <w:spacing w:after="0"/>
        <w:ind w:left="0"/>
        <w:jc w:val="both"/>
      </w:pPr>
      <w:r>
        <w:rPr>
          <w:rFonts w:ascii="Times New Roman"/>
          <w:b w:val="false"/>
          <w:i w:val="false"/>
          <w:color w:val="000000"/>
          <w:sz w:val="28"/>
        </w:rPr>
        <w:t xml:space="preserve">РЕСПУБЛИКА КАЗАХСТАН   </w:t>
      </w:r>
    </w:p>
    <w:p>
      <w:pPr>
        <w:spacing w:after="0"/>
        <w:ind w:left="0"/>
        <w:jc w:val="both"/>
      </w:pPr>
      <w:r>
        <w:rPr>
          <w:rFonts w:ascii="Times New Roman"/>
          <w:b w:val="false"/>
          <w:i w:val="false"/>
          <w:color w:val="000000"/>
          <w:sz w:val="28"/>
        </w:rPr>
        <w:t>____________________________</w:t>
      </w:r>
      <w:r>
        <w:br/>
      </w:r>
      <w:r>
        <w:rPr>
          <w:rFonts w:ascii="Times New Roman"/>
          <w:b w:val="false"/>
          <w:i w:val="false"/>
          <w:color w:val="000000"/>
          <w:sz w:val="28"/>
        </w:rPr>
        <w:t>
Уполномоченный представитель</w:t>
      </w:r>
    </w:p>
    <w:p>
      <w:pPr>
        <w:spacing w:after="0"/>
        <w:ind w:left="0"/>
        <w:jc w:val="both"/>
      </w:pPr>
      <w:r>
        <w:rPr>
          <w:rFonts w:ascii="Times New Roman"/>
          <w:b w:val="false"/>
          <w:i w:val="false"/>
          <w:color w:val="000000"/>
          <w:sz w:val="28"/>
        </w:rPr>
        <w:t xml:space="preserve">АЗИАТСКИЙ БАНК РАЗВИТИЯ  </w:t>
      </w:r>
    </w:p>
    <w:p>
      <w:pPr>
        <w:spacing w:after="0"/>
        <w:ind w:left="0"/>
        <w:jc w:val="both"/>
      </w:pPr>
      <w:r>
        <w:rPr>
          <w:rFonts w:ascii="Times New Roman"/>
          <w:b w:val="false"/>
          <w:i w:val="false"/>
          <w:color w:val="000000"/>
          <w:sz w:val="28"/>
        </w:rPr>
        <w:t>      ____________________________</w:t>
      </w:r>
    </w:p>
    <w:p>
      <w:pPr>
        <w:spacing w:after="0"/>
        <w:ind w:left="0"/>
        <w:jc w:val="both"/>
      </w:pPr>
      <w:r>
        <w:rPr>
          <w:rFonts w:ascii="Times New Roman"/>
          <w:b/>
          <w:i w:val="false"/>
          <w:color w:val="000080"/>
          <w:sz w:val="28"/>
        </w:rPr>
        <w:t>ПРИЛОЖЕНИЕ 1</w:t>
      </w:r>
    </w:p>
    <w:p>
      <w:pPr>
        <w:spacing w:after="0"/>
        <w:ind w:left="0"/>
        <w:jc w:val="both"/>
      </w:pPr>
      <w:r>
        <w:rPr>
          <w:rFonts w:ascii="Times New Roman"/>
          <w:b/>
          <w:i w:val="false"/>
          <w:color w:val="000080"/>
          <w:sz w:val="28"/>
        </w:rPr>
        <w:t>Описание Проекта</w:t>
      </w:r>
    </w:p>
    <w:p>
      <w:pPr>
        <w:spacing w:after="0"/>
        <w:ind w:left="0"/>
        <w:jc w:val="both"/>
      </w:pPr>
      <w:r>
        <w:rPr>
          <w:rFonts w:ascii="Times New Roman"/>
          <w:b w:val="false"/>
          <w:i w:val="false"/>
          <w:color w:val="000000"/>
          <w:sz w:val="28"/>
        </w:rPr>
        <w:t>      1. Цель Инвестиционной программы - содействие устойчивому экономическому развитию Заемщика.</w:t>
      </w:r>
      <w:r>
        <w:br/>
      </w:r>
      <w:r>
        <w:rPr>
          <w:rFonts w:ascii="Times New Roman"/>
          <w:b w:val="false"/>
          <w:i w:val="false"/>
          <w:color w:val="000000"/>
          <w:sz w:val="28"/>
        </w:rPr>
        <w:t>
      2. Являясь частью Инвестиционной программы, Проект направлен на развитие эффективной транспортной системы на Территории Проекта посредством реконструкции Проектной дороги. Проект будет состоять из выбранных контрактных пакетов, более подробно изложенных в ПЗФ.</w:t>
      </w:r>
      <w:r>
        <w:br/>
      </w:r>
      <w:r>
        <w:rPr>
          <w:rFonts w:ascii="Times New Roman"/>
          <w:b w:val="false"/>
          <w:i w:val="false"/>
          <w:color w:val="000000"/>
          <w:sz w:val="28"/>
        </w:rPr>
        <w:t>
      3. Завершение Проекта ожидается к 31 декабря 2014 года.</w:t>
      </w:r>
    </w:p>
    <w:p>
      <w:pPr>
        <w:spacing w:after="0"/>
        <w:ind w:left="0"/>
        <w:jc w:val="both"/>
      </w:pPr>
      <w:r>
        <w:rPr>
          <w:rFonts w:ascii="Times New Roman"/>
          <w:b w:val="false"/>
          <w:i w:val="false"/>
          <w:color w:val="000000"/>
          <w:sz w:val="28"/>
        </w:rPr>
        <w:t>Приложение 2</w:t>
      </w:r>
    </w:p>
    <w:p>
      <w:pPr>
        <w:spacing w:after="0"/>
        <w:ind w:left="0"/>
        <w:jc w:val="both"/>
      </w:pPr>
      <w:r>
        <w:rPr>
          <w:rFonts w:ascii="Times New Roman"/>
          <w:b/>
          <w:i w:val="false"/>
          <w:color w:val="000080"/>
          <w:sz w:val="28"/>
        </w:rPr>
        <w:t>ПРИЛОЖЕНИЕ 2</w:t>
      </w:r>
    </w:p>
    <w:p>
      <w:pPr>
        <w:spacing w:after="0"/>
        <w:ind w:left="0"/>
        <w:jc w:val="both"/>
      </w:pPr>
      <w:r>
        <w:rPr>
          <w:rFonts w:ascii="Times New Roman"/>
          <w:b/>
          <w:i w:val="false"/>
          <w:color w:val="000080"/>
          <w:sz w:val="28"/>
        </w:rPr>
        <w:t>График погашения Займа</w:t>
      </w:r>
      <w:r>
        <w:br/>
      </w:r>
      <w:r>
        <w:rPr>
          <w:rFonts w:ascii="Times New Roman"/>
          <w:b w:val="false"/>
          <w:i w:val="false"/>
          <w:color w:val="000000"/>
          <w:sz w:val="28"/>
        </w:rPr>
        <w:t>
</w:t>
      </w:r>
      <w:r>
        <w:rPr>
          <w:rFonts w:ascii="Times New Roman"/>
          <w:b/>
          <w:i w:val="false"/>
          <w:color w:val="000080"/>
          <w:sz w:val="28"/>
        </w:rPr>
        <w:t>(Транспортный коридор ЦАРЭС 1 [Участки в Жамбылской области]</w:t>
      </w:r>
      <w:r>
        <w:br/>
      </w:r>
      <w:r>
        <w:rPr>
          <w:rFonts w:ascii="Times New Roman"/>
          <w:b w:val="false"/>
          <w:i w:val="false"/>
          <w:color w:val="000000"/>
          <w:sz w:val="28"/>
        </w:rPr>
        <w:t>
</w:t>
      </w:r>
      <w:r>
        <w:rPr>
          <w:rFonts w:ascii="Times New Roman"/>
          <w:b/>
          <w:i w:val="false"/>
          <w:color w:val="000080"/>
          <w:sz w:val="28"/>
        </w:rPr>
        <w:t>[Международный транзитный коридор Западная Европа - Западный Китай] Инвестиционная Программа - Проект 2)</w:t>
      </w:r>
    </w:p>
    <w:p>
      <w:pPr>
        <w:spacing w:after="0"/>
        <w:ind w:left="0"/>
        <w:jc w:val="both"/>
      </w:pPr>
      <w:r>
        <w:rPr>
          <w:rFonts w:ascii="Times New Roman"/>
          <w:b w:val="false"/>
          <w:i w:val="false"/>
          <w:color w:val="000000"/>
          <w:sz w:val="28"/>
        </w:rPr>
        <w:t>      1. В нижеследующей таблице указаны Даты выплаты основной суммы Займа и процент от общей основной суммы Займа, подлежащий оплате на каждую Дату выплаты основной суммы Займа (Очередной взнос). Если средства Займа были в полном объеме сняты на момент первой даты платежа в погашение основной суммы Займа, то основная сумма Займа, подлежащая погашению Заемщиком на каждую дату платежа основной суммы Займа, будет определена АБР путем умножения: (а) общей основной суммы Займа, востребованного и невостребованного на момент первой даты платежа в погашение основного Займа; на (b) Очередной взнос для каждой даты платежа в погашение основного Займа, такая сумма погашения будет модифицирована по необходимости для вычета любых сумм, описанных в пункте 4 настоящего Приложения, к которым применима Конвертация валюты.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13"/>
        <w:gridCol w:w="5093"/>
        <w:gridCol w:w="4613"/>
      </w:tblGrid>
      <w:tr>
        <w:trPr>
          <w:trHeight w:val="30" w:hRule="atLeast"/>
        </w:trPr>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Последовательность</w:t>
            </w: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Дата платежа</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Очередной взнос</w:t>
            </w:r>
            <w:r>
              <w:br/>
            </w:r>
            <w:r>
              <w:rPr>
                <w:rFonts w:ascii="Times New Roman"/>
                <w:b w:val="false"/>
                <w:i w:val="false"/>
                <w:color w:val="000000"/>
                <w:sz w:val="20"/>
              </w:rPr>
              <w:t>
(выраженный в %)</w:t>
            </w:r>
          </w:p>
        </w:tc>
      </w:tr>
      <w:tr>
        <w:trPr>
          <w:trHeight w:val="30" w:hRule="atLeast"/>
        </w:trPr>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 апр 2015</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2.500000</w:t>
            </w:r>
          </w:p>
        </w:tc>
      </w:tr>
      <w:tr>
        <w:trPr>
          <w:trHeight w:val="30" w:hRule="atLeast"/>
        </w:trPr>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 окт 2015</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2.500000</w:t>
            </w:r>
          </w:p>
        </w:tc>
      </w:tr>
      <w:tr>
        <w:trPr>
          <w:trHeight w:val="30" w:hRule="atLeast"/>
        </w:trPr>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 апр 2016</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2.500000</w:t>
            </w:r>
          </w:p>
        </w:tc>
      </w:tr>
      <w:tr>
        <w:trPr>
          <w:trHeight w:val="30" w:hRule="atLeast"/>
        </w:trPr>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 окт 2016</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2.500000</w:t>
            </w:r>
          </w:p>
        </w:tc>
      </w:tr>
      <w:tr>
        <w:trPr>
          <w:trHeight w:val="30" w:hRule="atLeast"/>
        </w:trPr>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w:t>
            </w: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 апр 2017</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2.500000</w:t>
            </w:r>
          </w:p>
        </w:tc>
      </w:tr>
      <w:tr>
        <w:trPr>
          <w:trHeight w:val="30" w:hRule="atLeast"/>
        </w:trPr>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w:t>
            </w: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 окт 2017</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2.500000</w:t>
            </w:r>
          </w:p>
        </w:tc>
      </w:tr>
      <w:tr>
        <w:trPr>
          <w:trHeight w:val="30" w:hRule="atLeast"/>
        </w:trPr>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w:t>
            </w: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 апр 2018</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2.500000</w:t>
            </w:r>
          </w:p>
        </w:tc>
      </w:tr>
      <w:tr>
        <w:trPr>
          <w:trHeight w:val="30" w:hRule="atLeast"/>
        </w:trPr>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w:t>
            </w: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 окт 2018</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2.500000</w:t>
            </w:r>
          </w:p>
        </w:tc>
      </w:tr>
      <w:tr>
        <w:trPr>
          <w:trHeight w:val="30" w:hRule="atLeast"/>
        </w:trPr>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w:t>
            </w: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 апр 2019</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2.500000</w:t>
            </w:r>
          </w:p>
        </w:tc>
      </w:tr>
      <w:tr>
        <w:trPr>
          <w:trHeight w:val="30" w:hRule="atLeast"/>
        </w:trPr>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w:t>
            </w: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 окт 2019</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2.500000</w:t>
            </w:r>
          </w:p>
        </w:tc>
      </w:tr>
      <w:tr>
        <w:trPr>
          <w:trHeight w:val="30" w:hRule="atLeast"/>
        </w:trPr>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w:t>
            </w: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 апр 2020</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2.500000</w:t>
            </w:r>
          </w:p>
        </w:tc>
      </w:tr>
      <w:tr>
        <w:trPr>
          <w:trHeight w:val="30" w:hRule="atLeast"/>
        </w:trPr>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w:t>
            </w: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 окт 2020</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2.500000</w:t>
            </w:r>
          </w:p>
        </w:tc>
      </w:tr>
      <w:tr>
        <w:trPr>
          <w:trHeight w:val="30" w:hRule="atLeast"/>
        </w:trPr>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w:t>
            </w: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 апр 2021</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2.500000</w:t>
            </w:r>
          </w:p>
        </w:tc>
      </w:tr>
      <w:tr>
        <w:trPr>
          <w:trHeight w:val="30" w:hRule="atLeast"/>
        </w:trPr>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14</w:t>
            </w: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 окт 2021</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2.500000</w:t>
            </w:r>
          </w:p>
        </w:tc>
      </w:tr>
      <w:tr>
        <w:trPr>
          <w:trHeight w:val="30" w:hRule="atLeast"/>
        </w:trPr>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w:t>
            </w: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 апр 2022</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2.500000</w:t>
            </w:r>
          </w:p>
        </w:tc>
      </w:tr>
      <w:tr>
        <w:trPr>
          <w:trHeight w:val="30" w:hRule="atLeast"/>
        </w:trPr>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16</w:t>
            </w: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 окт 2022</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2.500000</w:t>
            </w:r>
          </w:p>
        </w:tc>
      </w:tr>
      <w:tr>
        <w:trPr>
          <w:trHeight w:val="30" w:hRule="atLeast"/>
        </w:trPr>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17</w:t>
            </w: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 апр 2023</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2.500000</w:t>
            </w:r>
          </w:p>
        </w:tc>
      </w:tr>
      <w:tr>
        <w:trPr>
          <w:trHeight w:val="30" w:hRule="atLeast"/>
        </w:trPr>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18</w:t>
            </w: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 окт 2023</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2.500000</w:t>
            </w:r>
          </w:p>
        </w:tc>
      </w:tr>
      <w:tr>
        <w:trPr>
          <w:trHeight w:val="30" w:hRule="atLeast"/>
        </w:trPr>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19</w:t>
            </w: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 апр 2024</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2.500000</w:t>
            </w:r>
          </w:p>
        </w:tc>
      </w:tr>
      <w:tr>
        <w:trPr>
          <w:trHeight w:val="30" w:hRule="atLeast"/>
        </w:trPr>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w:t>
            </w: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 окт 2024</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2.500000</w:t>
            </w:r>
          </w:p>
        </w:tc>
      </w:tr>
      <w:tr>
        <w:trPr>
          <w:trHeight w:val="30" w:hRule="atLeast"/>
        </w:trPr>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21</w:t>
            </w: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 апр 2025</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2.500000</w:t>
            </w:r>
          </w:p>
        </w:tc>
      </w:tr>
      <w:tr>
        <w:trPr>
          <w:trHeight w:val="30" w:hRule="atLeast"/>
        </w:trPr>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22</w:t>
            </w: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 окт 2025</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2.500000</w:t>
            </w:r>
          </w:p>
        </w:tc>
      </w:tr>
      <w:tr>
        <w:trPr>
          <w:trHeight w:val="30" w:hRule="atLeast"/>
        </w:trPr>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23</w:t>
            </w: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 апр 2026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2.500000</w:t>
            </w:r>
          </w:p>
        </w:tc>
      </w:tr>
      <w:tr>
        <w:trPr>
          <w:trHeight w:val="30" w:hRule="atLeast"/>
        </w:trPr>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24</w:t>
            </w: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 окт 2026</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2.500000</w:t>
            </w:r>
          </w:p>
        </w:tc>
      </w:tr>
      <w:tr>
        <w:trPr>
          <w:trHeight w:val="30" w:hRule="atLeast"/>
        </w:trPr>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25</w:t>
            </w: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 апр 2027</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2.500000</w:t>
            </w:r>
          </w:p>
        </w:tc>
      </w:tr>
      <w:tr>
        <w:trPr>
          <w:trHeight w:val="30" w:hRule="atLeast"/>
        </w:trPr>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26</w:t>
            </w: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 окт 2027</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2.500000</w:t>
            </w:r>
          </w:p>
        </w:tc>
      </w:tr>
      <w:tr>
        <w:trPr>
          <w:trHeight w:val="30" w:hRule="atLeast"/>
        </w:trPr>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27</w:t>
            </w: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 апр 2028</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2.500000</w:t>
            </w:r>
          </w:p>
        </w:tc>
      </w:tr>
      <w:tr>
        <w:trPr>
          <w:trHeight w:val="30" w:hRule="atLeast"/>
        </w:trPr>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28</w:t>
            </w: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 окт 2028</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2.500000</w:t>
            </w:r>
          </w:p>
        </w:tc>
      </w:tr>
      <w:tr>
        <w:trPr>
          <w:trHeight w:val="30" w:hRule="atLeast"/>
        </w:trPr>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29</w:t>
            </w: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 апр 2029</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2.500000</w:t>
            </w:r>
          </w:p>
        </w:tc>
      </w:tr>
      <w:tr>
        <w:trPr>
          <w:trHeight w:val="30" w:hRule="atLeast"/>
        </w:trPr>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30</w:t>
            </w: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 окт 2029</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2.500000</w:t>
            </w:r>
          </w:p>
        </w:tc>
      </w:tr>
      <w:tr>
        <w:trPr>
          <w:trHeight w:val="30" w:hRule="atLeast"/>
        </w:trPr>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31</w:t>
            </w: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 апр 2030</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2.500000</w:t>
            </w:r>
          </w:p>
        </w:tc>
      </w:tr>
      <w:tr>
        <w:trPr>
          <w:trHeight w:val="30" w:hRule="atLeast"/>
        </w:trPr>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32</w:t>
            </w: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 окт 2030</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2.500000</w:t>
            </w:r>
          </w:p>
        </w:tc>
      </w:tr>
      <w:tr>
        <w:trPr>
          <w:trHeight w:val="30" w:hRule="atLeast"/>
        </w:trPr>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33</w:t>
            </w: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 апр 2031</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2.500000</w:t>
            </w:r>
          </w:p>
        </w:tc>
      </w:tr>
      <w:tr>
        <w:trPr>
          <w:trHeight w:val="30" w:hRule="atLeast"/>
        </w:trPr>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34</w:t>
            </w: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 окт 2031</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2.500000</w:t>
            </w:r>
          </w:p>
        </w:tc>
      </w:tr>
      <w:tr>
        <w:trPr>
          <w:trHeight w:val="30" w:hRule="atLeast"/>
        </w:trPr>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35</w:t>
            </w: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 апр 2032</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2.500000</w:t>
            </w:r>
          </w:p>
        </w:tc>
      </w:tr>
      <w:tr>
        <w:trPr>
          <w:trHeight w:val="30" w:hRule="atLeast"/>
        </w:trPr>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36</w:t>
            </w: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 окт 2032</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2.500000</w:t>
            </w:r>
          </w:p>
        </w:tc>
      </w:tr>
      <w:tr>
        <w:trPr>
          <w:trHeight w:val="30" w:hRule="atLeast"/>
        </w:trPr>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37</w:t>
            </w: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 апр 2033</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2.500000</w:t>
            </w:r>
          </w:p>
        </w:tc>
      </w:tr>
      <w:tr>
        <w:trPr>
          <w:trHeight w:val="30" w:hRule="atLeast"/>
        </w:trPr>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38</w:t>
            </w: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 окт 2033</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2.500000</w:t>
            </w:r>
          </w:p>
        </w:tc>
      </w:tr>
      <w:tr>
        <w:trPr>
          <w:trHeight w:val="30" w:hRule="atLeast"/>
        </w:trPr>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39</w:t>
            </w: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 апр 2034</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2.500000</w:t>
            </w:r>
          </w:p>
        </w:tc>
      </w:tr>
      <w:tr>
        <w:trPr>
          <w:trHeight w:val="30" w:hRule="atLeast"/>
        </w:trPr>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40</w:t>
            </w: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 окт 2034</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2.500000</w:t>
            </w:r>
          </w:p>
        </w:tc>
      </w:tr>
      <w:tr>
        <w:trPr>
          <w:trHeight w:val="30" w:hRule="atLeast"/>
        </w:trPr>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Итого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100.000000</w:t>
            </w:r>
          </w:p>
        </w:tc>
      </w:tr>
    </w:tbl>
    <w:p>
      <w:pPr>
        <w:spacing w:after="0"/>
        <w:ind w:left="0"/>
        <w:jc w:val="both"/>
      </w:pPr>
      <w:r>
        <w:rPr>
          <w:rFonts w:ascii="Times New Roman"/>
          <w:b w:val="false"/>
          <w:i w:val="false"/>
          <w:color w:val="000000"/>
          <w:sz w:val="28"/>
        </w:rPr>
        <w:t>      2. Если средства Займа не были в полном объеме востребованы до первой даты платежа в погашение основного Займа, основная сумма Займа, подлежащая оплате Заемщиком на каждую дату платежа в погашение основного Займа, будет определена следующим образом:</w:t>
      </w:r>
      <w:r>
        <w:br/>
      </w:r>
      <w:r>
        <w:rPr>
          <w:rFonts w:ascii="Times New Roman"/>
          <w:b w:val="false"/>
          <w:i w:val="false"/>
          <w:color w:val="000000"/>
          <w:sz w:val="28"/>
        </w:rPr>
        <w:t>
      (а) В пределах средств Займа, которые следовало востребовать до первой даты платежа в погашение основного Займа, Заемщик обязуется выплатить сумму, востребованную и не востребованную, на момент этой даты в соответствии с пунктом 1 настоящего Приложения.</w:t>
      </w:r>
      <w:r>
        <w:br/>
      </w:r>
      <w:r>
        <w:rPr>
          <w:rFonts w:ascii="Times New Roman"/>
          <w:b w:val="false"/>
          <w:i w:val="false"/>
          <w:color w:val="000000"/>
          <w:sz w:val="28"/>
        </w:rPr>
        <w:t>
      (b) Любое снятие средств, произведенное после первой даты платежа в погашение основного Займа, подлежит погашению в каждую дату платежа в погашение основного Займа, выпадающую после момента даты данного снятия в суммах, определенных АБР путем умножения суммы каждого снятия на дробь, числитель которой составляет первоначальный Очередной взнос, указанный в таблице в пункте 1 настоящего Приложения для вышеупомянутой даты платежа в погашение основного Займа (Первоначальный Очередной взнос), и знаменатель которой составляет сумму всех оставшихся Первоначальных очередных взносов для дат платежей в погашение основного Займа, выпадающих на момент или после данной даты, данные суммы выплат будут модифицироваться при необходимости для вычета сумм, указанных в пункте 4 настоящего Приложения, к которым применяется Конвертация валюты.</w:t>
      </w:r>
      <w:r>
        <w:br/>
      </w:r>
      <w:r>
        <w:rPr>
          <w:rFonts w:ascii="Times New Roman"/>
          <w:b w:val="false"/>
          <w:i w:val="false"/>
          <w:color w:val="000000"/>
          <w:sz w:val="28"/>
        </w:rPr>
        <w:t>
      3. Снятия средств, произведенные в течение двух календарных месяцев до любой из дат платежей в погашение основного Займа, исключительно в целях подсчета основных сумм, подлежащих оплате в любой день основного погашения, следует считать востребованными и невостребованными на момент второй даты платежа в погашение основного Займа после даты снятия, и данная сумма подлежит оплате в каждую дату платежа в погашение основного Займа, начиная со второй даты платежа в погашение основного долга после даты снятия средств.</w:t>
      </w:r>
      <w:r>
        <w:br/>
      </w:r>
      <w:r>
        <w:rPr>
          <w:rFonts w:ascii="Times New Roman"/>
          <w:b w:val="false"/>
          <w:i w:val="false"/>
          <w:color w:val="000000"/>
          <w:sz w:val="28"/>
        </w:rPr>
        <w:t>
      4. Вне зависимости от положений пунктов 1 и 2 настоящего Приложения, при Конвертации валют в полном объеме или частично востребованных средств основной суммы Займа на утвержденную валюту, сумма средств, конвертированных на вышеупомянутую утвержденную валюту, которая подлежит погашению в любую из дат погашения основной суммы в течение периода Конвертации, будет определяться АБР путем умножения данной суммы в валюте деноминации непосредственно перед вышеупомянутой Конвертацией на либо: (i) курс обмена валют, отражающий основные суммы в указанной утвержденной валюте, подлежащие выплате АБР в рамках двойной конвертации валют, относящегося к вышеупомянутой Конвертации; либо (ii) по решению АБР в соответствии с Руководством по Конвертации, на компонент курса обмена валют установленной ставки.</w:t>
      </w:r>
      <w:r>
        <w:br/>
      </w:r>
      <w:r>
        <w:rPr>
          <w:rFonts w:ascii="Times New Roman"/>
          <w:b w:val="false"/>
          <w:i w:val="false"/>
          <w:color w:val="000000"/>
          <w:sz w:val="28"/>
        </w:rPr>
        <w:t>
      5. Если основная сумма Займа, востребованного и невостребованного, будет периодически номинирована в более чем одной валюте Займа, положения настоящего Приложения должны применяться в отдельности к суммам, номинированным в каждой валюте Займа, с целью разработать отдельный график погашения для каждой из этих сумм.</w:t>
      </w:r>
    </w:p>
    <w:p>
      <w:pPr>
        <w:spacing w:after="0"/>
        <w:ind w:left="0"/>
        <w:jc w:val="both"/>
      </w:pPr>
      <w:r>
        <w:rPr>
          <w:rFonts w:ascii="Times New Roman"/>
          <w:b/>
          <w:i w:val="false"/>
          <w:color w:val="000080"/>
          <w:sz w:val="28"/>
        </w:rPr>
        <w:t>ПРИЛОЖЕНИЕ 3</w:t>
      </w:r>
    </w:p>
    <w:p>
      <w:pPr>
        <w:spacing w:after="0"/>
        <w:ind w:left="0"/>
        <w:jc w:val="both"/>
      </w:pPr>
      <w:r>
        <w:rPr>
          <w:rFonts w:ascii="Times New Roman"/>
          <w:b/>
          <w:i w:val="false"/>
          <w:color w:val="000080"/>
          <w:sz w:val="28"/>
        </w:rPr>
        <w:t>Распределение и снятие средств Займа</w:t>
      </w:r>
    </w:p>
    <w:p>
      <w:pPr>
        <w:spacing w:after="0"/>
        <w:ind w:left="0"/>
        <w:jc w:val="both"/>
      </w:pPr>
      <w:r>
        <w:rPr>
          <w:rFonts w:ascii="Times New Roman"/>
          <w:b w:val="false"/>
          <w:i w:val="false"/>
          <w:color w:val="000000"/>
          <w:sz w:val="28"/>
          <w:u w:val="single"/>
        </w:rPr>
        <w:t>Общие положения</w:t>
      </w:r>
    </w:p>
    <w:p>
      <w:pPr>
        <w:spacing w:after="0"/>
        <w:ind w:left="0"/>
        <w:jc w:val="both"/>
      </w:pPr>
      <w:r>
        <w:rPr>
          <w:rFonts w:ascii="Times New Roman"/>
          <w:b w:val="false"/>
          <w:i w:val="false"/>
          <w:color w:val="000000"/>
          <w:sz w:val="28"/>
        </w:rPr>
        <w:t>      1. Таблица в настоящем Приложении излагает Категории товаров, работ, консультационных услуг и прочих расходов, финансируемых за счет средств Займа, а также распределение сумм Займа для каждой такой Категории (в дальнейшем именуется Таблица). (Упоминания понятий "Категория" или "Категории" в настоящем Приложении относятся к Категории или Категориям Таблицы).</w:t>
      </w:r>
    </w:p>
    <w:p>
      <w:pPr>
        <w:spacing w:after="0"/>
        <w:ind w:left="0"/>
        <w:jc w:val="both"/>
      </w:pPr>
      <w:r>
        <w:rPr>
          <w:rFonts w:ascii="Times New Roman"/>
          <w:b w:val="false"/>
          <w:i w:val="false"/>
          <w:color w:val="000000"/>
          <w:sz w:val="28"/>
          <w:u w:val="single"/>
        </w:rPr>
        <w:t>Процентные значения Финансирования АБР</w:t>
      </w:r>
    </w:p>
    <w:p>
      <w:pPr>
        <w:spacing w:after="0"/>
        <w:ind w:left="0"/>
        <w:jc w:val="both"/>
      </w:pPr>
      <w:r>
        <w:rPr>
          <w:rFonts w:ascii="Times New Roman"/>
          <w:b w:val="false"/>
          <w:i w:val="false"/>
          <w:color w:val="000000"/>
          <w:sz w:val="28"/>
        </w:rPr>
        <w:t>      2. Если АБР не согласовано иное, расходы Категорий, перечисленные в Таблице, будут финансироваться за счет средств Займа на основе процентных значений, указанных в Таблице.</w:t>
      </w:r>
    </w:p>
    <w:p>
      <w:pPr>
        <w:spacing w:after="0"/>
        <w:ind w:left="0"/>
        <w:jc w:val="both"/>
      </w:pPr>
      <w:r>
        <w:rPr>
          <w:rFonts w:ascii="Times New Roman"/>
          <w:b w:val="false"/>
          <w:i w:val="false"/>
          <w:color w:val="000000"/>
          <w:sz w:val="28"/>
          <w:u w:val="single"/>
        </w:rPr>
        <w:t>Перераспределение</w:t>
      </w:r>
    </w:p>
    <w:p>
      <w:pPr>
        <w:spacing w:after="0"/>
        <w:ind w:left="0"/>
        <w:jc w:val="both"/>
      </w:pPr>
      <w:r>
        <w:rPr>
          <w:rFonts w:ascii="Times New Roman"/>
          <w:b w:val="false"/>
          <w:i w:val="false"/>
          <w:color w:val="000000"/>
          <w:sz w:val="28"/>
        </w:rPr>
        <w:t>      3. Вне зависимости от распределения средств Займа и процентов снятия средств, указанных в Таблице,</w:t>
      </w:r>
      <w:r>
        <w:br/>
      </w:r>
      <w:r>
        <w:rPr>
          <w:rFonts w:ascii="Times New Roman"/>
          <w:b w:val="false"/>
          <w:i w:val="false"/>
          <w:color w:val="000000"/>
          <w:sz w:val="28"/>
        </w:rPr>
        <w:t>
      (a) если сумма Займа, выделенная для любой категории является недостаточной для финансирования всех согласованных расходов данной Категории, АБР вправе, путем уведомления Заемщика, (i) перераспределить средства для данной Категории в степени, необходимой для восполнения нехватки средств за счет средств, выделенных для другой категории, но по мнению АБР, не нужных для финансирования других расходов, а также (ii) если данное перераспределение не может в полной мере восполнить рассчитанный дефицит, уменьшить процент снятия средств для данных расходов с тем, чтобы дальнейшие снятия для данной Категории производились до тех пор, пока все расходы не были покрыты; и</w:t>
      </w:r>
      <w:r>
        <w:br/>
      </w:r>
      <w:r>
        <w:rPr>
          <w:rFonts w:ascii="Times New Roman"/>
          <w:b w:val="false"/>
          <w:i w:val="false"/>
          <w:color w:val="000000"/>
          <w:sz w:val="28"/>
        </w:rPr>
        <w:t>
      (b) если сумма Займа, выделенная на какую-либо Категорию, превышает все согласованные расходы в данной Категории, АБР вправе, путем уведомления Заемщика, перераспределить такую избыточную сумму в пользу другой Категории.</w:t>
      </w:r>
    </w:p>
    <w:p>
      <w:pPr>
        <w:spacing w:after="0"/>
        <w:ind w:left="0"/>
        <w:jc w:val="both"/>
      </w:pPr>
      <w:r>
        <w:rPr>
          <w:rFonts w:ascii="Times New Roman"/>
          <w:b w:val="false"/>
          <w:i w:val="false"/>
          <w:color w:val="000000"/>
          <w:sz w:val="28"/>
          <w:u w:val="single"/>
        </w:rPr>
        <w:t>Процедура выплаты Займа</w:t>
      </w:r>
    </w:p>
    <w:p>
      <w:pPr>
        <w:spacing w:after="0"/>
        <w:ind w:left="0"/>
        <w:jc w:val="both"/>
      </w:pPr>
      <w:r>
        <w:rPr>
          <w:rFonts w:ascii="Times New Roman"/>
          <w:b w:val="false"/>
          <w:i w:val="false"/>
          <w:color w:val="000000"/>
          <w:sz w:val="28"/>
        </w:rPr>
        <w:t>      4. Если АБР не согласовано иное, средства Займа для финансирования работ, консультационных услуг и прочих статей расходов подлежат выплате в соответствии со Справочником по выплате Займа АБР.</w:t>
      </w:r>
    </w:p>
    <w:p>
      <w:pPr>
        <w:spacing w:after="0"/>
        <w:ind w:left="0"/>
        <w:jc w:val="both"/>
      </w:pPr>
      <w:r>
        <w:rPr>
          <w:rFonts w:ascii="Times New Roman"/>
          <w:b w:val="false"/>
          <w:i w:val="false"/>
          <w:color w:val="000000"/>
          <w:sz w:val="28"/>
          <w:u w:val="single"/>
        </w:rPr>
        <w:t>Добавление к Приложению 3</w:t>
      </w:r>
    </w:p>
    <w:p>
      <w:pPr>
        <w:spacing w:after="0"/>
        <w:ind w:left="0"/>
        <w:jc w:val="both"/>
      </w:pPr>
      <w:r>
        <w:rPr>
          <w:rFonts w:ascii="Times New Roman"/>
          <w:b/>
          <w:i w:val="false"/>
          <w:color w:val="000000"/>
          <w:sz w:val="28"/>
        </w:rPr>
        <w:t>ТАБЛИЦА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73"/>
        <w:gridCol w:w="3453"/>
        <w:gridCol w:w="2433"/>
        <w:gridCol w:w="1953"/>
        <w:gridCol w:w="341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РАСПРЕДЕЛЕНИЕ И СНЯТИЕ СРЕДСТВ ЗАЙМА</w:t>
            </w:r>
            <w:r>
              <w:br/>
            </w:r>
            <w:r>
              <w:rPr>
                <w:rFonts w:ascii="Times New Roman"/>
                <w:b w:val="false"/>
                <w:i w:val="false"/>
                <w:color w:val="000000"/>
                <w:sz w:val="20"/>
              </w:rPr>
              <w:t>
</w:t>
            </w:r>
            <w:r>
              <w:rPr>
                <w:rFonts w:ascii="Times New Roman"/>
                <w:b/>
                <w:i w:val="false"/>
                <w:color w:val="000000"/>
                <w:sz w:val="20"/>
              </w:rPr>
              <w:t>(Транспортный коридор ЦАРЭС 1 [Участки в Жамбылской области]</w:t>
            </w:r>
            <w:r>
              <w:br/>
            </w:r>
            <w:r>
              <w:rPr>
                <w:rFonts w:ascii="Times New Roman"/>
                <w:b w:val="false"/>
                <w:i w:val="false"/>
                <w:color w:val="000000"/>
                <w:sz w:val="20"/>
              </w:rPr>
              <w:t>
</w:t>
            </w:r>
            <w:r>
              <w:rPr>
                <w:rFonts w:ascii="Times New Roman"/>
                <w:b/>
                <w:i w:val="false"/>
                <w:color w:val="000000"/>
                <w:sz w:val="20"/>
              </w:rPr>
              <w:t>[Международный транзитный коридор Западная Европа - Западный</w:t>
            </w:r>
            <w:r>
              <w:br/>
            </w:r>
            <w:r>
              <w:rPr>
                <w:rFonts w:ascii="Times New Roman"/>
                <w:b w:val="false"/>
                <w:i w:val="false"/>
                <w:color w:val="000000"/>
                <w:sz w:val="20"/>
              </w:rPr>
              <w:t>
</w:t>
            </w:r>
            <w:r>
              <w:rPr>
                <w:rFonts w:ascii="Times New Roman"/>
                <w:b/>
                <w:i w:val="false"/>
                <w:color w:val="000000"/>
                <w:sz w:val="20"/>
              </w:rPr>
              <w:t>Китай] Инвестиционная Программа - Проект 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КАТЕГОРИЯ</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ОСНОВА</w:t>
            </w:r>
            <w:r>
              <w:br/>
            </w:r>
            <w:r>
              <w:rPr>
                <w:rFonts w:ascii="Times New Roman"/>
                <w:b w:val="false"/>
                <w:i w:val="false"/>
                <w:color w:val="000000"/>
                <w:sz w:val="20"/>
              </w:rPr>
              <w:t>
</w:t>
            </w:r>
            <w:r>
              <w:rPr>
                <w:rFonts w:ascii="Times New Roman"/>
                <w:b/>
                <w:i w:val="false"/>
                <w:color w:val="000000"/>
                <w:sz w:val="20"/>
              </w:rPr>
              <w:t>ФИНАНСИРОВАНИЯ</w:t>
            </w:r>
            <w:r>
              <w:br/>
            </w:r>
            <w:r>
              <w:rPr>
                <w:rFonts w:ascii="Times New Roman"/>
                <w:b w:val="false"/>
                <w:i w:val="false"/>
                <w:color w:val="000000"/>
                <w:sz w:val="20"/>
              </w:rPr>
              <w:t>
</w:t>
            </w:r>
            <w:r>
              <w:rPr>
                <w:rFonts w:ascii="Times New Roman"/>
                <w:b/>
                <w:i w:val="false"/>
                <w:color w:val="000000"/>
                <w:sz w:val="20"/>
              </w:rPr>
              <w:t>АБР</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Номер</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Наименование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Общая сумма,</w:t>
            </w:r>
            <w:r>
              <w:br/>
            </w:r>
            <w:r>
              <w:rPr>
                <w:rFonts w:ascii="Times New Roman"/>
                <w:b w:val="false"/>
                <w:i w:val="false"/>
                <w:color w:val="000000"/>
                <w:sz w:val="20"/>
              </w:rPr>
              <w:t>
</w:t>
            </w:r>
            <w:r>
              <w:rPr>
                <w:rFonts w:ascii="Times New Roman"/>
                <w:b/>
                <w:i w:val="false"/>
                <w:color w:val="000000"/>
                <w:sz w:val="20"/>
              </w:rPr>
              <w:t>распределенная для</w:t>
            </w:r>
            <w:r>
              <w:br/>
            </w:r>
            <w:r>
              <w:rPr>
                <w:rFonts w:ascii="Times New Roman"/>
                <w:b w:val="false"/>
                <w:i w:val="false"/>
                <w:color w:val="000000"/>
                <w:sz w:val="20"/>
              </w:rPr>
              <w:t>
</w:t>
            </w:r>
            <w:r>
              <w:rPr>
                <w:rFonts w:ascii="Times New Roman"/>
                <w:b/>
                <w:i w:val="false"/>
                <w:color w:val="000000"/>
                <w:sz w:val="20"/>
              </w:rPr>
              <w:t>финансирования АБР</w:t>
            </w:r>
            <w:r>
              <w:br/>
            </w:r>
            <w:r>
              <w:rPr>
                <w:rFonts w:ascii="Times New Roman"/>
                <w:b w:val="false"/>
                <w:i w:val="false"/>
                <w:color w:val="000000"/>
                <w:sz w:val="20"/>
              </w:rPr>
              <w:t>
</w:t>
            </w:r>
            <w:r>
              <w:rPr>
                <w:rFonts w:ascii="Times New Roman"/>
                <w:b/>
                <w:i w:val="false"/>
                <w:color w:val="000000"/>
                <w:sz w:val="20"/>
              </w:rPr>
              <w:t>$</w:t>
            </w:r>
          </w:p>
          <w:p>
            <w:pPr>
              <w:spacing w:after="20"/>
              <w:ind w:left="20"/>
              <w:jc w:val="both"/>
            </w:pPr>
            <w:r>
              <w:rPr>
                <w:rFonts w:ascii="Times New Roman"/>
                <w:b/>
                <w:i w:val="false"/>
                <w:color w:val="000000"/>
                <w:sz w:val="20"/>
              </w:rPr>
              <w:t>Категория</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Процент</w:t>
            </w:r>
            <w:r>
              <w:br/>
            </w:r>
            <w:r>
              <w:rPr>
                <w:rFonts w:ascii="Times New Roman"/>
                <w:b w:val="false"/>
                <w:i w:val="false"/>
                <w:color w:val="000000"/>
                <w:sz w:val="20"/>
              </w:rPr>
              <w:t>
</w:t>
            </w:r>
            <w:r>
              <w:rPr>
                <w:rFonts w:ascii="Times New Roman"/>
                <w:b/>
                <w:i w:val="false"/>
                <w:color w:val="000000"/>
                <w:sz w:val="20"/>
              </w:rPr>
              <w:t>финансирования</w:t>
            </w:r>
            <w:r>
              <w:br/>
            </w:r>
            <w:r>
              <w:rPr>
                <w:rFonts w:ascii="Times New Roman"/>
                <w:b w:val="false"/>
                <w:i w:val="false"/>
                <w:color w:val="000000"/>
                <w:sz w:val="20"/>
              </w:rPr>
              <w:t>
</w:t>
            </w:r>
            <w:r>
              <w:rPr>
                <w:rFonts w:ascii="Times New Roman"/>
                <w:b/>
                <w:i w:val="false"/>
                <w:color w:val="000000"/>
                <w:sz w:val="20"/>
              </w:rPr>
              <w:t>АБР со счета</w:t>
            </w:r>
            <w:r>
              <w:br/>
            </w:r>
            <w:r>
              <w:rPr>
                <w:rFonts w:ascii="Times New Roman"/>
                <w:b w:val="false"/>
                <w:i w:val="false"/>
                <w:color w:val="000000"/>
                <w:sz w:val="20"/>
              </w:rPr>
              <w:t>
</w:t>
            </w:r>
            <w:r>
              <w:rPr>
                <w:rFonts w:ascii="Times New Roman"/>
                <w:b/>
                <w:i w:val="false"/>
                <w:color w:val="000000"/>
                <w:sz w:val="20"/>
              </w:rPr>
              <w:t>Займа</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Работы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166,000,000</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85 процентов от</w:t>
            </w:r>
            <w:r>
              <w:br/>
            </w:r>
            <w:r>
              <w:rPr>
                <w:rFonts w:ascii="Times New Roman"/>
                <w:b w:val="false"/>
                <w:i w:val="false"/>
                <w:color w:val="000000"/>
                <w:sz w:val="20"/>
              </w:rPr>
              <w:t>
общей</w:t>
            </w:r>
            <w:r>
              <w:br/>
            </w:r>
            <w:r>
              <w:rPr>
                <w:rFonts w:ascii="Times New Roman"/>
                <w:b w:val="false"/>
                <w:i w:val="false"/>
                <w:color w:val="000000"/>
                <w:sz w:val="20"/>
              </w:rPr>
              <w:t>
запрашиваемой</w:t>
            </w:r>
            <w:r>
              <w:br/>
            </w:r>
            <w:r>
              <w:rPr>
                <w:rFonts w:ascii="Times New Roman"/>
                <w:b w:val="false"/>
                <w:i w:val="false"/>
                <w:color w:val="000000"/>
                <w:sz w:val="20"/>
              </w:rPr>
              <w:t>
суммы затрат</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Консультационные</w:t>
            </w:r>
            <w:r>
              <w:br/>
            </w:r>
            <w:r>
              <w:rPr>
                <w:rFonts w:ascii="Times New Roman"/>
                <w:b w:val="false"/>
                <w:i w:val="false"/>
                <w:color w:val="000000"/>
                <w:sz w:val="20"/>
              </w:rPr>
              <w:t>
услуги</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4,000,000</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 процентов от</w:t>
            </w:r>
            <w:r>
              <w:br/>
            </w:r>
            <w:r>
              <w:rPr>
                <w:rFonts w:ascii="Times New Roman"/>
                <w:b w:val="false"/>
                <w:i w:val="false"/>
                <w:color w:val="000000"/>
                <w:sz w:val="20"/>
              </w:rPr>
              <w:t>
общей</w:t>
            </w:r>
            <w:r>
              <w:br/>
            </w:r>
            <w:r>
              <w:rPr>
                <w:rFonts w:ascii="Times New Roman"/>
                <w:b w:val="false"/>
                <w:i w:val="false"/>
                <w:color w:val="000000"/>
                <w:sz w:val="20"/>
              </w:rPr>
              <w:t>
запрашиваемой</w:t>
            </w:r>
            <w:r>
              <w:br/>
            </w:r>
            <w:r>
              <w:rPr>
                <w:rFonts w:ascii="Times New Roman"/>
                <w:b w:val="false"/>
                <w:i w:val="false"/>
                <w:color w:val="000000"/>
                <w:sz w:val="20"/>
              </w:rPr>
              <w:t>
суммы затрат*</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Нераспределенные</w:t>
            </w:r>
            <w:r>
              <w:br/>
            </w:r>
            <w:r>
              <w:rPr>
                <w:rFonts w:ascii="Times New Roman"/>
                <w:b w:val="false"/>
                <w:i w:val="false"/>
                <w:color w:val="000000"/>
                <w:sz w:val="20"/>
              </w:rPr>
              <w:t>
средства</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17,000,000</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Итого</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187,000,000</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*Не включая налоги и пошлины, взимаемые на территории Заемщика</w:t>
      </w:r>
    </w:p>
    <w:p>
      <w:pPr>
        <w:spacing w:after="0"/>
        <w:ind w:left="0"/>
        <w:jc w:val="both"/>
      </w:pPr>
      <w:r>
        <w:rPr>
          <w:rFonts w:ascii="Times New Roman"/>
          <w:b/>
          <w:i w:val="false"/>
          <w:color w:val="000080"/>
          <w:sz w:val="28"/>
        </w:rPr>
        <w:t>ПРИЛОЖЕНИЕ 4</w:t>
      </w:r>
    </w:p>
    <w:p>
      <w:pPr>
        <w:spacing w:after="0"/>
        <w:ind w:left="0"/>
        <w:jc w:val="both"/>
      </w:pPr>
      <w:r>
        <w:rPr>
          <w:rFonts w:ascii="Times New Roman"/>
          <w:b/>
          <w:i w:val="false"/>
          <w:color w:val="000080"/>
          <w:sz w:val="28"/>
        </w:rPr>
        <w:t>Закупки товаров, работ и консультационных услуг</w:t>
      </w:r>
    </w:p>
    <w:p>
      <w:pPr>
        <w:spacing w:after="0"/>
        <w:ind w:left="0"/>
        <w:jc w:val="both"/>
      </w:pPr>
      <w:r>
        <w:rPr>
          <w:rFonts w:ascii="Times New Roman"/>
          <w:b/>
          <w:i w:val="false"/>
          <w:color w:val="000000"/>
          <w:sz w:val="28"/>
        </w:rPr>
        <w:t xml:space="preserve">A. </w:t>
      </w:r>
      <w:r>
        <w:rPr>
          <w:rFonts w:ascii="Times New Roman"/>
          <w:b/>
          <w:i w:val="false"/>
          <w:color w:val="000000"/>
          <w:sz w:val="28"/>
          <w:u w:val="single"/>
        </w:rPr>
        <w:t>Общие положения</w:t>
      </w:r>
    </w:p>
    <w:p>
      <w:pPr>
        <w:spacing w:after="0"/>
        <w:ind w:left="0"/>
        <w:jc w:val="both"/>
      </w:pPr>
      <w:r>
        <w:rPr>
          <w:rFonts w:ascii="Times New Roman"/>
          <w:b w:val="false"/>
          <w:i w:val="false"/>
          <w:color w:val="000000"/>
          <w:sz w:val="28"/>
        </w:rPr>
        <w:t>      1. Все товары, работы и консультационные услуги, финансируемые за счет средств Займа, подлежат исполнению и контролю в соответствии с Руководством по закупкам, и Руководством по привлечению услуг консультантов, соответственно.</w:t>
      </w:r>
      <w:r>
        <w:br/>
      </w:r>
      <w:r>
        <w:rPr>
          <w:rFonts w:ascii="Times New Roman"/>
          <w:b w:val="false"/>
          <w:i w:val="false"/>
          <w:color w:val="000000"/>
          <w:sz w:val="28"/>
        </w:rPr>
        <w:t>
      2. Все термины, используемые и не определенные по-другому в настоящем Соглашении о Займе, имеют значения, изложенные в Руководстве по закупкам и/или Руководстве по привлечению услуг консультантов в соответствующих случаях.</w:t>
      </w:r>
    </w:p>
    <w:p>
      <w:pPr>
        <w:spacing w:after="0"/>
        <w:ind w:left="0"/>
        <w:jc w:val="both"/>
      </w:pPr>
      <w:r>
        <w:rPr>
          <w:rFonts w:ascii="Times New Roman"/>
          <w:b/>
          <w:i w:val="false"/>
          <w:color w:val="000000"/>
          <w:sz w:val="28"/>
        </w:rPr>
        <w:t xml:space="preserve">B. </w:t>
      </w:r>
      <w:r>
        <w:rPr>
          <w:rFonts w:ascii="Times New Roman"/>
          <w:b/>
          <w:i w:val="false"/>
          <w:color w:val="000000"/>
          <w:sz w:val="28"/>
          <w:u w:val="single"/>
        </w:rPr>
        <w:t>Закупка товаров и работ</w:t>
      </w:r>
    </w:p>
    <w:p>
      <w:pPr>
        <w:spacing w:after="0"/>
        <w:ind w:left="0"/>
        <w:jc w:val="both"/>
      </w:pPr>
      <w:r>
        <w:rPr>
          <w:rFonts w:ascii="Times New Roman"/>
          <w:b w:val="false"/>
          <w:i w:val="false"/>
          <w:color w:val="000000"/>
          <w:sz w:val="28"/>
        </w:rPr>
        <w:t>      3. Если АБР не согласился на иное, товары и работы должны будут приобретаться на основе процедур закупок, изложенных ниже: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53"/>
      </w:tblGrid>
      <w:tr>
        <w:trPr>
          <w:trHeight w:val="30" w:hRule="atLeast"/>
        </w:trPr>
        <w:tc>
          <w:tcPr>
            <w:tcW w:w="6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Международные конкурсные торги</w:t>
            </w:r>
          </w:p>
        </w:tc>
      </w:tr>
      <w:tr>
        <w:trPr>
          <w:trHeight w:val="30" w:hRule="atLeast"/>
        </w:trPr>
        <w:tc>
          <w:tcPr>
            <w:tcW w:w="6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Национальные конкурсные торги</w:t>
            </w:r>
          </w:p>
        </w:tc>
      </w:tr>
    </w:tbl>
    <w:p>
      <w:pPr>
        <w:spacing w:after="0"/>
        <w:ind w:left="0"/>
        <w:jc w:val="both"/>
      </w:pPr>
      <w:r>
        <w:rPr>
          <w:rFonts w:ascii="Times New Roman"/>
          <w:b w:val="false"/>
          <w:i w:val="false"/>
          <w:color w:val="000000"/>
          <w:sz w:val="28"/>
        </w:rPr>
        <w:t>      4. Процедуры закупок, помимо прочих условий, подлежат исполнению в соответствии с детальными договоренностями и пороговой стоимостью, указанными в Плане закупок. Заемщик вправе модифицировать процедуру закупок или пороговую стоимость только при условии предварительного согласования с АБР, при этом все изменения должны отражаться в дополнениях к Плану закупок.</w:t>
      </w:r>
      <w:r>
        <w:br/>
      </w:r>
      <w:r>
        <w:rPr>
          <w:rFonts w:ascii="Times New Roman"/>
          <w:b w:val="false"/>
          <w:i w:val="false"/>
          <w:color w:val="000000"/>
          <w:sz w:val="28"/>
        </w:rPr>
        <w:t xml:space="preserve">
      5. </w:t>
      </w:r>
      <w:r>
        <w:rPr>
          <w:rFonts w:ascii="Times New Roman"/>
          <w:b w:val="false"/>
          <w:i w:val="false"/>
          <w:color w:val="000000"/>
          <w:sz w:val="28"/>
          <w:u w:val="single"/>
        </w:rPr>
        <w:t>Национальные конкурсные торги</w:t>
      </w:r>
      <w:r>
        <w:rPr>
          <w:rFonts w:ascii="Times New Roman"/>
          <w:b w:val="false"/>
          <w:i w:val="false"/>
          <w:color w:val="000000"/>
          <w:sz w:val="28"/>
        </w:rPr>
        <w:t>. Заемщик и АБР обеспечат соответствие государственных процедур проведения конкурсных торгов Заемщика с Руководством о закупках до начала проведения каких-либо мероприятий по закупкам на основе процедуры национальных конкурсных торгов. Любые изменения или пояснения к таким процедурам, согласованные между Заемщиком и АБР, будут указаны в Плане закупок. Любое последующее изменение согласованных изменений или пояснений вступит в силу только после письменного утверждения такого изменения Заемщиком и АБР.</w:t>
      </w:r>
    </w:p>
    <w:p>
      <w:pPr>
        <w:spacing w:after="0"/>
        <w:ind w:left="0"/>
        <w:jc w:val="both"/>
      </w:pPr>
      <w:r>
        <w:rPr>
          <w:rFonts w:ascii="Times New Roman"/>
          <w:b/>
          <w:i w:val="false"/>
          <w:color w:val="000000"/>
          <w:sz w:val="28"/>
        </w:rPr>
        <w:t xml:space="preserve">C. </w:t>
      </w:r>
      <w:r>
        <w:rPr>
          <w:rFonts w:ascii="Times New Roman"/>
          <w:b/>
          <w:i w:val="false"/>
          <w:color w:val="000000"/>
          <w:sz w:val="28"/>
          <w:u w:val="single"/>
        </w:rPr>
        <w:t>Выбор консультационных услуг</w:t>
      </w:r>
    </w:p>
    <w:p>
      <w:pPr>
        <w:spacing w:after="0"/>
        <w:ind w:left="0"/>
        <w:jc w:val="both"/>
      </w:pPr>
      <w:r>
        <w:rPr>
          <w:rFonts w:ascii="Times New Roman"/>
          <w:b w:val="false"/>
          <w:i w:val="false"/>
          <w:color w:val="000000"/>
          <w:sz w:val="28"/>
        </w:rPr>
        <w:t xml:space="preserve">      6. </w:t>
      </w:r>
      <w:r>
        <w:rPr>
          <w:rFonts w:ascii="Times New Roman"/>
          <w:b w:val="false"/>
          <w:i w:val="false"/>
          <w:color w:val="000000"/>
          <w:sz w:val="28"/>
          <w:u w:val="single"/>
        </w:rPr>
        <w:t>Отбор на основе оценки качества и цены услуг</w:t>
      </w:r>
      <w:r>
        <w:rPr>
          <w:rFonts w:ascii="Times New Roman"/>
          <w:b w:val="false"/>
          <w:i w:val="false"/>
          <w:color w:val="000000"/>
          <w:sz w:val="28"/>
        </w:rPr>
        <w:t>. Если АБР не указано иное, Заемщик обязуется поручить ИА выбрать и привлечь консультационные услуги для осуществления надзора за строительством, основываясь на оценке качества и цены услуг. Заемщик вправе изменить метод отбора консультантов или их объем услуг с предварительного согласия АБР, при этом изменения должны отражаться в дополнениях к Плану закупок.</w:t>
      </w:r>
    </w:p>
    <w:p>
      <w:pPr>
        <w:spacing w:after="0"/>
        <w:ind w:left="0"/>
        <w:jc w:val="both"/>
      </w:pPr>
      <w:r>
        <w:rPr>
          <w:rFonts w:ascii="Times New Roman"/>
          <w:b/>
          <w:i w:val="false"/>
          <w:color w:val="000000"/>
          <w:sz w:val="28"/>
        </w:rPr>
        <w:t>D. Рассмотрение АБР решений о закупках</w:t>
      </w:r>
    </w:p>
    <w:p>
      <w:pPr>
        <w:spacing w:after="0"/>
        <w:ind w:left="0"/>
        <w:jc w:val="both"/>
      </w:pPr>
      <w:r>
        <w:rPr>
          <w:rFonts w:ascii="Times New Roman"/>
          <w:b w:val="false"/>
          <w:i w:val="false"/>
          <w:color w:val="000000"/>
          <w:sz w:val="28"/>
        </w:rPr>
        <w:t>      7. Все контракты, закупленные в рамках процедур международных конкурсных торгов, и контракты на оказание консультационных услуг подлежат предварительному рассмотрению АБР, если иное не согласовано между Заемщиком и АБР и указано в Плане закупок.</w:t>
      </w:r>
    </w:p>
    <w:p>
      <w:pPr>
        <w:spacing w:after="0"/>
        <w:ind w:left="0"/>
        <w:jc w:val="both"/>
      </w:pPr>
      <w:r>
        <w:rPr>
          <w:rFonts w:ascii="Times New Roman"/>
          <w:b/>
          <w:i w:val="false"/>
          <w:color w:val="000000"/>
          <w:sz w:val="28"/>
        </w:rPr>
        <w:t xml:space="preserve">Е. </w:t>
      </w:r>
      <w:r>
        <w:rPr>
          <w:rFonts w:ascii="Times New Roman"/>
          <w:b/>
          <w:i w:val="false"/>
          <w:color w:val="000000"/>
          <w:sz w:val="28"/>
          <w:u w:val="single"/>
        </w:rPr>
        <w:t>Права на промышленную и интеллектуальную собственность</w:t>
      </w:r>
    </w:p>
    <w:p>
      <w:pPr>
        <w:spacing w:after="0"/>
        <w:ind w:left="0"/>
        <w:jc w:val="both"/>
      </w:pPr>
      <w:r>
        <w:rPr>
          <w:rFonts w:ascii="Times New Roman"/>
          <w:b w:val="false"/>
          <w:i w:val="false"/>
          <w:color w:val="000000"/>
          <w:sz w:val="28"/>
        </w:rPr>
        <w:t>      8. (а) Заемщик обязуется поручить ИА обеспечить, чтобы приобретенные работы (включая, но не ограничиваясь всем компьютерным аппаратным и программным обеспечением, компьютерными системами, приобретенными либо отдельно, либо в составе прочих товаров и услуг) не нарушали или ущемляли любое право третьих лиц на промышленную или интеллектуальную собственность или требование.</w:t>
      </w:r>
      <w:r>
        <w:br/>
      </w:r>
      <w:r>
        <w:rPr>
          <w:rFonts w:ascii="Times New Roman"/>
          <w:b w:val="false"/>
          <w:i w:val="false"/>
          <w:color w:val="000000"/>
          <w:sz w:val="28"/>
        </w:rPr>
        <w:t>
      (b) Заемщик обязуется поручить ИА убедиться в том, что все контракты по закупкам работ содержат соответствующие представления, гарантии и, если необходимо, гарантии возмещения убытков со стороны подрядчика или поставщика в отношении случаев, указанных в подпункте (а) настоящего пункта.</w:t>
      </w:r>
      <w:r>
        <w:br/>
      </w:r>
      <w:r>
        <w:rPr>
          <w:rFonts w:ascii="Times New Roman"/>
          <w:b w:val="false"/>
          <w:i w:val="false"/>
          <w:color w:val="000000"/>
          <w:sz w:val="28"/>
        </w:rPr>
        <w:t>
      9. Заемщик обязуется поручить ИА убедиться в том, что все контракты с консультантами, финансируемые АБР, содержат соответствующие представления, гарантии и, если необходимо, гарантии возмещения убытков со стороны консультантов, для того, чтобы убедиться в том, что предоставляемые консультационные услуги не нарушают или ущемляют любое право третьих лиц на промышленную или интеллектуальную собственность или требование.</w:t>
      </w:r>
    </w:p>
    <w:p>
      <w:pPr>
        <w:spacing w:after="0"/>
        <w:ind w:left="0"/>
        <w:jc w:val="both"/>
      </w:pPr>
      <w:r>
        <w:rPr>
          <w:rFonts w:ascii="Times New Roman"/>
          <w:b/>
          <w:i w:val="false"/>
          <w:color w:val="000080"/>
          <w:sz w:val="28"/>
        </w:rPr>
        <w:t>ПРИЛОЖЕНИЕ 5</w:t>
      </w:r>
    </w:p>
    <w:p>
      <w:pPr>
        <w:spacing w:after="0"/>
        <w:ind w:left="0"/>
        <w:jc w:val="both"/>
      </w:pPr>
      <w:r>
        <w:rPr>
          <w:rFonts w:ascii="Times New Roman"/>
          <w:b/>
          <w:i w:val="false"/>
          <w:color w:val="000080"/>
          <w:sz w:val="28"/>
        </w:rPr>
        <w:t>Исполнение Проекта и эксплуатация Проектных объектов</w:t>
      </w:r>
    </w:p>
    <w:p>
      <w:pPr>
        <w:spacing w:after="0"/>
        <w:ind w:left="0"/>
        <w:jc w:val="both"/>
      </w:pPr>
      <w:r>
        <w:rPr>
          <w:rFonts w:ascii="Times New Roman"/>
          <w:b w:val="false"/>
          <w:i w:val="false"/>
          <w:color w:val="000000"/>
          <w:sz w:val="28"/>
        </w:rPr>
        <w:t>I. ПОРЯДОК РЕАЛИЗАЦИИ</w:t>
      </w:r>
    </w:p>
    <w:p>
      <w:pPr>
        <w:spacing w:after="0"/>
        <w:ind w:left="0"/>
        <w:jc w:val="both"/>
      </w:pPr>
      <w:r>
        <w:rPr>
          <w:rFonts w:ascii="Times New Roman"/>
          <w:b w:val="false"/>
          <w:i w:val="false"/>
          <w:color w:val="000000"/>
          <w:sz w:val="28"/>
        </w:rPr>
        <w:t>      1. Заемщик назначил МТК в качестве Исполнительного Агентства по Проекту и КАД в качестве организации, ответственной за реализацию Проекта.</w:t>
      </w:r>
      <w:r>
        <w:br/>
      </w:r>
      <w:r>
        <w:rPr>
          <w:rFonts w:ascii="Times New Roman"/>
          <w:b w:val="false"/>
          <w:i w:val="false"/>
          <w:color w:val="000000"/>
          <w:sz w:val="28"/>
        </w:rPr>
        <w:t>
      2. Директор Проекта, назначенный МТК, принимает на себя ответственность за каждодневную реализацию Проекта. Директор Проекта будет обеспечен поддержкой со стороны персонала МТК, ответственного за инженерные, финансовые, юридические и снабженческие вопросы. КУП-АБР будет сформирована для оказания поддержки Директору Проекта в следующих областях: управление Проектом, закупки, финансы, администрирование, оценка, мониторинг и отчетность, а также комплексная проверка последующих проектов.</w:t>
      </w:r>
      <w:r>
        <w:br/>
      </w:r>
      <w:r>
        <w:rPr>
          <w:rFonts w:ascii="Times New Roman"/>
          <w:b w:val="false"/>
          <w:i w:val="false"/>
          <w:color w:val="000000"/>
          <w:sz w:val="28"/>
        </w:rPr>
        <w:t>
      3. Заемщик убедится, что (а) назначен компетентный персонал МТК для оказания поддержки Директору Проекта в течение всего периода реализации Проекта; и (б) МТК мобилизовало консультантов, ответственных за надзор за строительством, до начала работ.</w:t>
      </w:r>
    </w:p>
    <w:p>
      <w:pPr>
        <w:spacing w:after="0"/>
        <w:ind w:left="0"/>
        <w:jc w:val="both"/>
      </w:pPr>
      <w:r>
        <w:rPr>
          <w:rFonts w:ascii="Times New Roman"/>
          <w:b w:val="false"/>
          <w:i w:val="false"/>
          <w:color w:val="000000"/>
          <w:sz w:val="28"/>
        </w:rPr>
        <w:t>II. ОПЕРАЦИОННЫЕ ОБЯЗАТЕЛЬСТВА</w:t>
      </w:r>
    </w:p>
    <w:p>
      <w:pPr>
        <w:spacing w:after="0"/>
        <w:ind w:left="0"/>
        <w:jc w:val="both"/>
      </w:pPr>
      <w:r>
        <w:rPr>
          <w:rFonts w:ascii="Times New Roman"/>
          <w:b w:val="false"/>
          <w:i w:val="false"/>
          <w:color w:val="000000"/>
          <w:sz w:val="28"/>
          <w:u w:val="single"/>
        </w:rPr>
        <w:t>Софинансирование</w:t>
      </w:r>
    </w:p>
    <w:p>
      <w:pPr>
        <w:spacing w:after="0"/>
        <w:ind w:left="0"/>
        <w:jc w:val="both"/>
      </w:pPr>
      <w:r>
        <w:rPr>
          <w:rFonts w:ascii="Times New Roman"/>
          <w:b w:val="false"/>
          <w:i w:val="false"/>
          <w:color w:val="000000"/>
          <w:sz w:val="28"/>
        </w:rPr>
        <w:t>      4. Не ограничивая общий смысл Раздела 4.02 настоящего Соглашения о Займе, Заемщик обязуется обеспечить доступность всех средств софинансирования, необходимых для своевременного и эффективного исполнения Проекта в виде ежегодно выделяемых бюджетных средств для МТК и обязуется убедиться в том, что необходимые ресурсы предоставляются своевременно. Заемщик обязуется убедиться в том, что МТК включает все измененные потребности в финансировании для реализации Проекта в его ежегодных программах развития.</w:t>
      </w:r>
    </w:p>
    <w:p>
      <w:pPr>
        <w:spacing w:after="0"/>
        <w:ind w:left="0"/>
        <w:jc w:val="both"/>
      </w:pPr>
      <w:r>
        <w:rPr>
          <w:rFonts w:ascii="Times New Roman"/>
          <w:b w:val="false"/>
          <w:i w:val="false"/>
          <w:color w:val="000000"/>
          <w:sz w:val="28"/>
          <w:u w:val="single"/>
        </w:rPr>
        <w:t>Качество строительства</w:t>
      </w:r>
    </w:p>
    <w:p>
      <w:pPr>
        <w:spacing w:after="0"/>
        <w:ind w:left="0"/>
        <w:jc w:val="both"/>
      </w:pPr>
      <w:r>
        <w:rPr>
          <w:rFonts w:ascii="Times New Roman"/>
          <w:b w:val="false"/>
          <w:i w:val="false"/>
          <w:color w:val="000000"/>
          <w:sz w:val="28"/>
        </w:rPr>
        <w:t>      5. Заемщик обязуется поручить МТК убедиться в том, что Проект исполняется в соответствии с применимыми техническими спецификациями и планами, и чтобы надзор за строительством, контроль качества и управление Проектом производились в соответствии с применимыми стандартами и лучшим международным опытом.</w:t>
      </w:r>
    </w:p>
    <w:p>
      <w:pPr>
        <w:spacing w:after="0"/>
        <w:ind w:left="0"/>
        <w:jc w:val="both"/>
      </w:pPr>
      <w:r>
        <w:rPr>
          <w:rFonts w:ascii="Times New Roman"/>
          <w:b w:val="false"/>
          <w:i w:val="false"/>
          <w:color w:val="000000"/>
          <w:sz w:val="28"/>
          <w:u w:val="single"/>
        </w:rPr>
        <w:t>Обеспечение безопасности дорожного движения</w:t>
      </w:r>
    </w:p>
    <w:p>
      <w:pPr>
        <w:spacing w:after="0"/>
        <w:ind w:left="0"/>
        <w:jc w:val="both"/>
      </w:pPr>
      <w:r>
        <w:rPr>
          <w:rFonts w:ascii="Times New Roman"/>
          <w:b w:val="false"/>
          <w:i w:val="false"/>
          <w:color w:val="000000"/>
          <w:sz w:val="28"/>
        </w:rPr>
        <w:t>      6. Заемщик обязуется поручить МТК а) убедиться в том, что все контракты на строительные работы включают в себя обязательство подрядчика выполнять меры по обеспечению безопасности дорожного движения; и (о) осуществлять мониторинг уровня аварийности и интенсиности движения в течение эксплуатации Проектной дороги.</w:t>
      </w:r>
    </w:p>
    <w:p>
      <w:pPr>
        <w:spacing w:after="0"/>
        <w:ind w:left="0"/>
        <w:jc w:val="both"/>
      </w:pPr>
      <w:r>
        <w:rPr>
          <w:rFonts w:ascii="Times New Roman"/>
          <w:b w:val="false"/>
          <w:i w:val="false"/>
          <w:color w:val="000000"/>
          <w:sz w:val="28"/>
          <w:u w:val="single"/>
        </w:rPr>
        <w:t>Окружающая среда</w:t>
      </w:r>
    </w:p>
    <w:p>
      <w:pPr>
        <w:spacing w:after="0"/>
        <w:ind w:left="0"/>
        <w:jc w:val="both"/>
      </w:pPr>
      <w:r>
        <w:rPr>
          <w:rFonts w:ascii="Times New Roman"/>
          <w:b w:val="false"/>
          <w:i w:val="false"/>
          <w:color w:val="000000"/>
          <w:sz w:val="28"/>
        </w:rPr>
        <w:t xml:space="preserve">      7. Заемщик обязуется поручить МТК убедиться в том, что (а) проектные решения, строительство и эксплуатация и техническое обслуживание Проектных объектов производятся в соответствии с </w:t>
      </w:r>
      <w:r>
        <w:rPr>
          <w:rFonts w:ascii="Times New Roman"/>
          <w:b w:val="false"/>
          <w:i/>
          <w:color w:val="000000"/>
          <w:sz w:val="28"/>
        </w:rPr>
        <w:t>Экологической политикой</w:t>
      </w:r>
      <w:r>
        <w:rPr>
          <w:rFonts w:ascii="Times New Roman"/>
          <w:b w:val="false"/>
          <w:i w:val="false"/>
          <w:color w:val="000000"/>
          <w:sz w:val="28"/>
        </w:rPr>
        <w:t xml:space="preserve"> АБР (2002), природоохранным законодательством и нормативными требованиями Заемщика, КЭОО, общей оценкой воздействия на окружающую среду, подготовленной для Инвестиционной программы и согласованной с АБР, и ОВОС; и (b) потенциальное вредное воздействие Проекта на окружающую среду снижено за счет принятия всех мер минимизации и мониторинга, как указано в ПООС.</w:t>
      </w:r>
      <w:r>
        <w:br/>
      </w:r>
      <w:r>
        <w:rPr>
          <w:rFonts w:ascii="Times New Roman"/>
          <w:b w:val="false"/>
          <w:i w:val="false"/>
          <w:color w:val="000000"/>
          <w:sz w:val="28"/>
        </w:rPr>
        <w:t xml:space="preserve">
      8. Заемщик обязуется поручить МТК дополнительно убедиться в том, что (а) ПООС обновлен до выдачи любого уведомления о начале работ; (b) достаточные ресурсы предоставлены для исполения, мониторинга и отчетности выполнения ПООС; (с) полугодовые экологические отчеты подготовлены и предоставлены в АБР в течение трех (3) месяцев после каждого периода, по которому составляется отчет; (d) отчеты включают </w:t>
      </w:r>
      <w:r>
        <w:rPr>
          <w:rFonts w:ascii="Times New Roman"/>
          <w:b w:val="false"/>
          <w:i/>
          <w:color w:val="000000"/>
          <w:sz w:val="28"/>
          <w:u w:val="single"/>
        </w:rPr>
        <w:t>помимо прочего</w:t>
      </w:r>
      <w:r>
        <w:rPr>
          <w:rFonts w:ascii="Times New Roman"/>
          <w:b w:val="false"/>
          <w:i w:val="false"/>
          <w:color w:val="000000"/>
          <w:sz w:val="28"/>
        </w:rPr>
        <w:t>, обзор достижений в выполнении ПООС, проблемы и меры по решению данных проблем; (е) детальный инженерный план и контракты на строительные работы в рамках Проекта включают применяемые экологические меры, обозначенные в ОВОС и ПООС; и (f) подрядчики контролируются в целях обеспечения соответствия требованиям ОВОС и ПООС.</w:t>
      </w:r>
    </w:p>
    <w:p>
      <w:pPr>
        <w:spacing w:after="0"/>
        <w:ind w:left="0"/>
        <w:jc w:val="both"/>
      </w:pPr>
      <w:r>
        <w:rPr>
          <w:rFonts w:ascii="Times New Roman"/>
          <w:b w:val="false"/>
          <w:i w:val="false"/>
          <w:color w:val="000000"/>
          <w:sz w:val="28"/>
          <w:u w:val="single"/>
        </w:rPr>
        <w:t>Приобретение земельных участков и переселение</w:t>
      </w:r>
    </w:p>
    <w:p>
      <w:pPr>
        <w:spacing w:after="0"/>
        <w:ind w:left="0"/>
        <w:jc w:val="both"/>
      </w:pPr>
      <w:r>
        <w:rPr>
          <w:rFonts w:ascii="Times New Roman"/>
          <w:b w:val="false"/>
          <w:i w:val="false"/>
          <w:color w:val="000000"/>
          <w:sz w:val="28"/>
        </w:rPr>
        <w:t xml:space="preserve">      9. Заемщик обязуется поручить МТК убедиться в том, что Проект исполняется в соответствии с действующим законодательством и нормативными требованиями Заемщика, Политикой АБР о вынужденном переселении (1995) и ОВЗП и ПВЗП включая, </w:t>
      </w:r>
      <w:r>
        <w:rPr>
          <w:rFonts w:ascii="Times New Roman"/>
          <w:b w:val="false"/>
          <w:i/>
          <w:color w:val="000000"/>
          <w:sz w:val="28"/>
          <w:u w:val="single"/>
        </w:rPr>
        <w:t>помимо прочего</w:t>
      </w:r>
      <w:r>
        <w:rPr>
          <w:rFonts w:ascii="Times New Roman"/>
          <w:b w:val="false"/>
          <w:i w:val="false"/>
          <w:color w:val="000000"/>
          <w:sz w:val="28"/>
        </w:rPr>
        <w:t>, следующие положения:</w:t>
      </w:r>
      <w:r>
        <w:br/>
      </w:r>
      <w:r>
        <w:rPr>
          <w:rFonts w:ascii="Times New Roman"/>
          <w:b w:val="false"/>
          <w:i w:val="false"/>
          <w:color w:val="000000"/>
          <w:sz w:val="28"/>
        </w:rPr>
        <w:t>
      (a) ПВЗП должен быть доведен до сведения затронутых жителей в соответствии с положениями ОВЗП;</w:t>
      </w:r>
      <w:r>
        <w:br/>
      </w:r>
      <w:r>
        <w:rPr>
          <w:rFonts w:ascii="Times New Roman"/>
          <w:b w:val="false"/>
          <w:i w:val="false"/>
          <w:color w:val="000000"/>
          <w:sz w:val="28"/>
        </w:rPr>
        <w:t>
      (b) ПВЗП необходимо предоставить на рассмотрение и утверждение АБР до заключения каких-либо контрактов на строительные работы;</w:t>
      </w:r>
      <w:r>
        <w:br/>
      </w:r>
      <w:r>
        <w:rPr>
          <w:rFonts w:ascii="Times New Roman"/>
          <w:b w:val="false"/>
          <w:i w:val="false"/>
          <w:color w:val="000000"/>
          <w:sz w:val="28"/>
        </w:rPr>
        <w:t>
      (c) Все земельные участки и права отвода земель, необходимые для Проекта, должны быть приобретены и предоставлены своевременно;</w:t>
      </w:r>
      <w:r>
        <w:br/>
      </w:r>
      <w:r>
        <w:rPr>
          <w:rFonts w:ascii="Times New Roman"/>
          <w:b w:val="false"/>
          <w:i w:val="false"/>
          <w:color w:val="000000"/>
          <w:sz w:val="28"/>
        </w:rPr>
        <w:t>
      (d) Все компенсации и содействие в переселении будут предоставлены затронутым лицам до момента их выселения и лишения права собственности, и программа компенсаций ПВЗП должна быть полностью реализована до того, как выйдет любое уведомление о начале работ;</w:t>
      </w:r>
      <w:r>
        <w:br/>
      </w:r>
      <w:r>
        <w:rPr>
          <w:rFonts w:ascii="Times New Roman"/>
          <w:b w:val="false"/>
          <w:i w:val="false"/>
          <w:color w:val="000000"/>
          <w:sz w:val="28"/>
        </w:rPr>
        <w:t>
      (e) Эффективные механизмы разрешения жалоб должны работать в целях помочь затронутым лицам разрешить вопросы и жалобы, при их возникновении, своевременно;</w:t>
      </w:r>
      <w:r>
        <w:br/>
      </w:r>
      <w:r>
        <w:rPr>
          <w:rFonts w:ascii="Times New Roman"/>
          <w:b w:val="false"/>
          <w:i w:val="false"/>
          <w:color w:val="000000"/>
          <w:sz w:val="28"/>
        </w:rPr>
        <w:t>
      (f) Необходимо предоставить компетентный персонал и ресурсы для осуществления контроля за мониторингом исполнения ПВЗП. Независимая организация по проведению мониторинга, приемлемая для АБР, будет проводить внешний мониторинг и оценку ПВЗП и представлять результаты в АБР в начале и по завершении процесса реализации ПВЗП; и</w:t>
      </w:r>
      <w:r>
        <w:br/>
      </w:r>
      <w:r>
        <w:rPr>
          <w:rFonts w:ascii="Times New Roman"/>
          <w:b w:val="false"/>
          <w:i w:val="false"/>
          <w:color w:val="000000"/>
          <w:sz w:val="28"/>
        </w:rPr>
        <w:t>
      (g) Если в период исполнения ПВЗП выявлены любые изменения местности, разбивка дорог либо дополнительные воздействия на окружающую среду и/или переселение, необходимо внести дополнения в ПВЗП и получить первоочередное одобрение АБР и соответствующих правительственных органов до последующей реализации ПВЗП.</w:t>
      </w:r>
    </w:p>
    <w:p>
      <w:pPr>
        <w:spacing w:after="0"/>
        <w:ind w:left="0"/>
        <w:jc w:val="both"/>
      </w:pPr>
      <w:r>
        <w:rPr>
          <w:rFonts w:ascii="Times New Roman"/>
          <w:b w:val="false"/>
          <w:i w:val="false"/>
          <w:color w:val="000000"/>
          <w:sz w:val="28"/>
          <w:u w:val="single"/>
        </w:rPr>
        <w:t>Выполнение контрактов на работы</w:t>
      </w:r>
    </w:p>
    <w:p>
      <w:pPr>
        <w:spacing w:after="0"/>
        <w:ind w:left="0"/>
        <w:jc w:val="both"/>
      </w:pPr>
      <w:r>
        <w:rPr>
          <w:rFonts w:ascii="Times New Roman"/>
          <w:b w:val="false"/>
          <w:i w:val="false"/>
          <w:color w:val="000000"/>
          <w:sz w:val="28"/>
        </w:rPr>
        <w:t>      10. Заемщик обязуется поручить МТК убедиться в том, что после заключения контрактов на работы, уведомления о начале работ подрядчику на соответствующие сегменты или участки Проектной дороги не выдаются до тех пор, пока не будут соблюдены соответствующие положения ПВЗП (включая в частности своевременную выплату компенсаций затронутым лицам), а также положения ОВОС и обновленного ПООС.</w:t>
      </w:r>
    </w:p>
    <w:p>
      <w:pPr>
        <w:spacing w:after="0"/>
        <w:ind w:left="0"/>
        <w:jc w:val="both"/>
      </w:pPr>
      <w:r>
        <w:rPr>
          <w:rFonts w:ascii="Times New Roman"/>
          <w:b w:val="false"/>
          <w:i w:val="false"/>
          <w:color w:val="000000"/>
          <w:sz w:val="28"/>
          <w:u w:val="single"/>
        </w:rPr>
        <w:t>Охрана труда, здоровья, обеспечение гендерного равенства и социальная</w:t>
      </w:r>
      <w:r>
        <w:br/>
      </w:r>
      <w:r>
        <w:rPr>
          <w:rFonts w:ascii="Times New Roman"/>
          <w:b w:val="false"/>
          <w:i w:val="false"/>
          <w:color w:val="000000"/>
          <w:sz w:val="28"/>
        </w:rPr>
        <w:t>
</w:t>
      </w:r>
      <w:r>
        <w:rPr>
          <w:rFonts w:ascii="Times New Roman"/>
          <w:b w:val="false"/>
          <w:i w:val="false"/>
          <w:color w:val="000000"/>
          <w:sz w:val="28"/>
          <w:u w:val="single"/>
        </w:rPr>
        <w:t>защита</w:t>
      </w:r>
    </w:p>
    <w:p>
      <w:pPr>
        <w:spacing w:after="0"/>
        <w:ind w:left="0"/>
        <w:jc w:val="both"/>
      </w:pPr>
      <w:r>
        <w:rPr>
          <w:rFonts w:ascii="Times New Roman"/>
          <w:b w:val="false"/>
          <w:i w:val="false"/>
          <w:color w:val="000000"/>
          <w:sz w:val="28"/>
        </w:rPr>
        <w:t>      11. Заемщик поручит МТК обеспечить: (а) включение положений в договоры на строительные работы с тем, чтобы обеспечить соблюдение строительными подрядчиками (i) применимых основных стандартов Кодекса о труде, трудового законодательства и применения соответствующих норм безопасности труда на рабочем месте; (ii) равной оплаты мужчинам и женщинам за равный труд; (iii) неиспользование детского труда при строительстве и мероприятиях по техническому обслуживанию дорог; и (iv) в возможном объеме максимальное трудоустройство местного малоимущего и неблагополучного населения для строительных целей Проекта при условии адекватного выполнения требований к работе и эффективности, и (б) осуществление распространения информации о рисках заболевании, распространяющихся половым путем, включая ВИЧ/СПИД, среди работников подрядных организаций, привлеченных в рамках Проекта и среди местных жителей, проживающих в непосредственной близости к Проектной дороге.</w:t>
      </w:r>
    </w:p>
    <w:p>
      <w:pPr>
        <w:spacing w:after="0"/>
        <w:ind w:left="0"/>
        <w:jc w:val="both"/>
      </w:pPr>
      <w:r>
        <w:rPr>
          <w:rFonts w:ascii="Times New Roman"/>
          <w:b w:val="false"/>
          <w:i w:val="false"/>
          <w:color w:val="000000"/>
          <w:sz w:val="28"/>
          <w:u w:val="single"/>
        </w:rPr>
        <w:t>Борьба с коррупцией</w:t>
      </w:r>
    </w:p>
    <w:p>
      <w:pPr>
        <w:spacing w:after="0"/>
        <w:ind w:left="0"/>
        <w:jc w:val="both"/>
      </w:pPr>
      <w:r>
        <w:rPr>
          <w:rFonts w:ascii="Times New Roman"/>
          <w:b w:val="false"/>
          <w:i w:val="false"/>
          <w:color w:val="000000"/>
          <w:sz w:val="28"/>
        </w:rPr>
        <w:t xml:space="preserve">      12. Заемщик обязуется следовать </w:t>
      </w:r>
      <w:r>
        <w:rPr>
          <w:rFonts w:ascii="Times New Roman"/>
          <w:b w:val="false"/>
          <w:i/>
          <w:color w:val="000000"/>
          <w:sz w:val="28"/>
        </w:rPr>
        <w:t>Политике АБР по борьбе с коррупцией</w:t>
      </w:r>
      <w:r>
        <w:rPr>
          <w:rFonts w:ascii="Times New Roman"/>
          <w:b w:val="false"/>
          <w:i w:val="false"/>
          <w:color w:val="000000"/>
          <w:sz w:val="28"/>
        </w:rPr>
        <w:t xml:space="preserve"> (от 1998 года, с поправками на настоящее время). Заемщик в соответствии с его обязательством следовать принципам рационального управления, отчетности и прозрачности, соглашается, что АБР вправе расследовать, непосредственно либо через его агентов, все предполагаемые случаи коррупции, мошенничества, тайного сговора или принуждения, относящиеся к Проекту, и что Заемщик будет сотрудничать в полной мере и содействовать любому такому расследованию в необходимой степени оказания поддержки, включая обеспечение доступа к соответствующим отчетам и записям, по мере необходимости, для удовлетворительного завершения любого такого расследования. Кроме того, Заемщик поручит МТК (а) проводить периодические проверки действий подрядчиков, относящихся к снятию средств Займа и выплатам по нему; (о) убедиться в том, что все контракты, финансируемые АБР в рамках Проекта, включают положения, устанавливающие право АБР проводить аудит и производить проверку записей и счетов всех подрядчиков, поставщиков, консультантов, а также поставщиков услуг, относящихся к Проекту; (с) убедиться в том, чтобы консультант по надзору за строительством проверял платежные сертификаты подрядчиков в соответствии с рабочими чертежами и спецификациями контракта; и (d) убедиться в выполнении плана борьбы с коррупцией, разработанного для Инвестиционной программы и согласованного с АБР.</w:t>
      </w:r>
    </w:p>
    <w:p>
      <w:pPr>
        <w:spacing w:after="0"/>
        <w:ind w:left="0"/>
        <w:jc w:val="both"/>
      </w:pPr>
      <w:r>
        <w:rPr>
          <w:rFonts w:ascii="Times New Roman"/>
          <w:b w:val="false"/>
          <w:i w:val="false"/>
          <w:color w:val="000000"/>
          <w:sz w:val="28"/>
          <w:u w:val="single"/>
        </w:rPr>
        <w:t>Система Финансового управления</w:t>
      </w:r>
    </w:p>
    <w:p>
      <w:pPr>
        <w:spacing w:after="0"/>
        <w:ind w:left="0"/>
        <w:jc w:val="both"/>
      </w:pPr>
      <w:r>
        <w:rPr>
          <w:rFonts w:ascii="Times New Roman"/>
          <w:b w:val="false"/>
          <w:i w:val="false"/>
          <w:color w:val="000000"/>
          <w:sz w:val="28"/>
        </w:rPr>
        <w:t>      13. Заемщик обязуется поручить МТК убедиться в том, что к 30 апреля 2010 года будет создана и будет работать система финансового управления МТК, включая создание автоматизированной системы бухгалтерии, способной фиксировать и составлять отчетность на ежегодной основе транзакций Проекта и составлять промежуточные финансовые отчеты.</w:t>
      </w:r>
    </w:p>
    <w:p>
      <w:pPr>
        <w:spacing w:after="0"/>
        <w:ind w:left="0"/>
        <w:jc w:val="both"/>
      </w:pPr>
      <w:r>
        <w:rPr>
          <w:rFonts w:ascii="Times New Roman"/>
          <w:b w:val="false"/>
          <w:i w:val="false"/>
          <w:color w:val="000000"/>
          <w:sz w:val="28"/>
          <w:u w:val="single"/>
        </w:rPr>
        <w:t>Система мониторинга функционирования Проекта</w:t>
      </w:r>
    </w:p>
    <w:p>
      <w:pPr>
        <w:spacing w:after="0"/>
        <w:ind w:left="0"/>
        <w:jc w:val="both"/>
      </w:pPr>
      <w:r>
        <w:rPr>
          <w:rFonts w:ascii="Times New Roman"/>
          <w:b w:val="false"/>
          <w:i w:val="false"/>
          <w:color w:val="000000"/>
          <w:sz w:val="28"/>
        </w:rPr>
        <w:t>      14. Заемщик обязуется поручить МТК создать СМФП в течение шести (6) месяцев с Даты вступления в силу и провести сбор исходных данных для мониторинга функционирования. Ключевые показатели и допущения, перечисленные на уровне воздействия и результатов в механизме проектного плана и мониторинга составляют первичные данные, необходимые для анализа.</w:t>
      </w:r>
    </w:p>
    <w:p>
      <w:pPr>
        <w:spacing w:after="0"/>
        <w:ind w:left="0"/>
        <w:jc w:val="both"/>
      </w:pPr>
      <w:r>
        <w:rPr>
          <w:rFonts w:ascii="Times New Roman"/>
          <w:b w:val="false"/>
          <w:i w:val="false"/>
          <w:color w:val="000000"/>
          <w:sz w:val="28"/>
          <w:u w:val="single"/>
        </w:rPr>
        <w:t>Обзор Проекта</w:t>
      </w:r>
    </w:p>
    <w:p>
      <w:pPr>
        <w:spacing w:after="0"/>
        <w:ind w:left="0"/>
        <w:jc w:val="both"/>
      </w:pPr>
      <w:r>
        <w:rPr>
          <w:rFonts w:ascii="Times New Roman"/>
          <w:b w:val="false"/>
          <w:i w:val="false"/>
          <w:color w:val="000000"/>
          <w:sz w:val="28"/>
        </w:rPr>
        <w:t>      15. Заемщик обязуется поручить МТК предоставлять в АБР: (i) квартальные отчеты о достижениях Проекта в течение двух (2) недель после окончания каждого отчетного квартала и (ii) прочие отчеты о функционировании и мониторинге, представляемые в АБР один раз в полугодие. Сводный промежуточный обзор необходимо проводить через два (2) года после вступления в силу. Промежуточный обзор должен охватывать инженерные, экологические и социальные меры безопасности Проекта, соответствие условиям Займа и обязательствам, изложенным в РСФ. Обзор предусмотрит любые необходимые промежуточные поправки для обеспечения успешной реализации и достижения целей Проекта и Инвестиционной Пограммы.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