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a5ca8" w14:textId="c1a5c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генеральном плане города Усть-Каменогорска Восточно-Казахстанской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ноября 2009 года № 1749. Утратило силу постановлением Правительства Республики Казахстан от 12 ноября 2021 года № 810.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12.11.2021 </w:t>
      </w:r>
      <w:r>
        <w:rPr>
          <w:rFonts w:ascii="Times New Roman"/>
          <w:b w:val="false"/>
          <w:i w:val="false"/>
          <w:color w:val="ff0000"/>
          <w:sz w:val="28"/>
        </w:rPr>
        <w:t>№ 810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 и в целях обеспечения комплексного развития города Усть-Каменогорска Восточно-Казахстанской области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проект генерального плана города Усть-Каменогорска Восточно-Казахстанской области, одобренный Восточно-Казахстанским областным и Усть-Каменогорским городским маслихатами.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Совета Министров Казахской ССР от 24 февраля 1969 года № 114 "Об утверждении генерального плана города Усть-Каменогорска Восточно-Казахстанской области и его основных положений".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2009 года № 1749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Генеральный план</w:t>
      </w:r>
      <w:r>
        <w:br/>
      </w:r>
      <w:r>
        <w:rPr>
          <w:rFonts w:ascii="Times New Roman"/>
          <w:b/>
          <w:i w:val="false"/>
          <w:color w:val="000000"/>
        </w:rPr>
        <w:t>города Усть-Каменогорска Восточно-Казахстанской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Основные цели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целями разработки генерального плана города Усть-Каменогорска Восточно-Казахстанской области (далее - Генеральный план) являются определение долгосрочных перспектив территориального развития города и формирования его архитектурно-планировочной структуры; функционально-градостроительного зонирования территории; принципиальных решений по организации системы обслуживания и размещения объектов общегородского назначения, организации транспортного обслуживания; развития инженерной инфраструктуры, инженерной защиты территории; градостроительных мероприятий по улучшению экологической обстановки.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проекте Генерального плана города приняты следующие проектные периоды: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исходный год                  -   на 1 января 2006 года;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расчетный срок                -   2020 год;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первая очередь строительства  -   2010 год.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Проектная архитектурно-планировочная организация территории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генеральном плане города Усть-Каменогорска предусматривается: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рост численности населения города до 400 тысяч человек на расчетный срок;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улучшение жилищных условий населения с доведением средней обеспеченности жилищным фондом до 25 квадратов на человека;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всех видов капитального и планово-предупредительного ремонта, в том числе с реставрацией старого жилищного фонда с учетом его технического состояния, степени морального износа и историко-культурной ценности;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культурно-бытового обслуживания города с доведением уровня обеспеченности всеми видами услуг до нормативов;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нового жилищного строительства на территориях наиболее приемлемых по экологическим условиям с максимальным удалением от промышленных предприятий;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перспективной планировочной структуры с органичным включением зон природного ландшафта;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строительного зонирования, включающего многоэтажную блокированную и усадебную застройку;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сети лечебно-оздоровительных и рекреационных учреждений и размещение их на территориях с наиболее благоприятными санитарно-гигиеническими условиями;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системы озеленения, способствующей улучшению экологической обстановки.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осуществить в правобережной части города следующее: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сокращение и разуплотнение населения за счет повышения нормы жилой обеспеченности, увеличения площади озелененных территорий, перепрофилирования малоценного существующего жилищного фонда под другие городские функции;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сохранение памятников истории, культуры и архитектуры;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санитарно-защитные зеленые насаждения;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по охране природы и оздоровлению окружающей среды, снижение предельно допустимых выбросов промышленных предприятий до нормативного уровня, обеспечивающего приемлемое состояние воздушного бассейна города Усть-Каменогорска и прилегающих населенных пунктов путем реконструкции, модернизации предприятий с применением новых технологий.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Перспективная планировочная структура сохраняет основные предложения действующего Генерального плана, рассматривая его как определенный этап развития города в пространстве и во времени. При этом в составе нового Генерального плана разработана Концепция градостроительного развития города на перспективу до 2030 года.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Генеральным планом предусмотрено четкое функциональное зонирование территории с выделением промышленных и селитебных зон.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планировочном отношении принята радиально-кольцевая структура организации территории города. Генеральным планом предложено создание трех колец в пределах перспективной границы города. Большое внешнее кольцо, проходящее по периферийной части города в обход селитебной застройки, предназначено для движения транзитного грузового автотранспорта. Среднее кольцо соединит новые жилые районы между собой и промрайонами города, с выходом в сторону аэропорта. Малое (внутреннее) кольцо формируется вокруг центрального ядра города, для разгрузки транспортного движения. Исторический центр города в перспективе сохранит свое значение.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Селитебная территория включает 6 планировочных районов: 4 района в правобережной части (центральный, северо-западный, северо-восточный, восточный) и 2 района в левобережной части (юго-западный и южный). Каждый планировочный район в свою очередь состоит из жилых районов.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Правобережная часть города характеризуется неблагоприятными экологическими условиями. Основным источником загрязнения воздуха являются предприятия цветной металлургии. В правобережной части города предусмотрено разуплотнение населения, за счет повышения нормы жилищной обеспеченности, увеличения площади озелененных территорий общего пользования и санитарно-защитного назначения. Жилая застройка, находящаяся в непосредственной близости от данных предприятий, предлагается к поэтапному выводу из жилищного фонда.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Новое жилищное строительство по генеральному плану будет, преимущественно, осуществляться в левобережной части. Проектная структура транспортных магистралей обеспечивает удобные связи жилых образований с промышленными районами города, центрами планировочных районов, которые формируются, в основном, на въездных магистралях города.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прибрежной части реки Иртыш предусмотрена под организацию рекреационной зоны, где разместятся дендропарк, этнографический музей, зоопарк, аквапарк и другие объекты рекреационного и спортивного назначений.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Общегородской спортивный комплекс предусмотрен на территории девятнадцатого жилого района.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 жилыми районами Меновное и Ахмирово разместится общегородской медицинский центр.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Новые промышленные предприятия разместятся на территории существующих промрайонов. Новый промышленный район планируется разместить в период расчетного срока в районе строящейся железнодорожной станции "Молодежная", в этом промрайоне намечается размещение Левобережной теплоэнергоцентрали.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генеральном плане даны резервные площадки для размещения селитебных, производственных и коммунально-складских территорий за расчетным сроком.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архитектурной, градостроительной и строительной деятельности в Республике Казахстан" генеральным планом определены зоны преимущественного отчуждения и приобретения земель. Площадь города в проектных границах к концу расчетного срока увеличится на 6085 га за счет земель Глубоковского и Уланского районов, а также земель города Усть-Каменогорска.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Резервные территории являются градостроительными ресурсами, предназначенными для развития города.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Изъятие сельскохозяйственных земель в зоне преимущественного отчуждения будет осуществляться по мере поэтапного градостроительного освоения территории,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В дальнейшем для изъятия земель требуется разработка и утверждение землеустроительных проектов в соответствии с Земельным кодексом Республики Казахстан и иными законодательными актами Республики Казахстан.</w:t>
      </w:r>
    </w:p>
    <w:bookmarkEnd w:id="38"/>
    <w:bookmarkStart w:name="z4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Экономические предпосылки градостроительного</w:t>
      </w:r>
      <w:r>
        <w:br/>
      </w:r>
      <w:r>
        <w:rPr>
          <w:rFonts w:ascii="Times New Roman"/>
          <w:b/>
          <w:i w:val="false"/>
          <w:color w:val="000000"/>
        </w:rPr>
        <w:t>развития города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перспективе город Усть-Каменогорск рассматривается как крупный производственный экспортоориентированный, научный и инновационный центр, межрегиональный центр бизнеса и международного делового общения с высокоразвитым гостиничным, ресторанным и выставочным комплексами, для проведения межрегиональных выставок сельскохозяйственной, металлургической продукции, товаров легкой и пищевой промышленностей.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конкурентоспособных и экспортоориентированных товаров, работ и услуг в обрабатывающей промышленности и сфере услуг является главным предметом индустриально-инновационной политики города.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индустриально-инновационной политики предполагает комплексное развитие всех отраслей экономики посредством освоения новых технологий, перехода на международные стандарты качества и выхода на новые рынки сбыта.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перспективу генеральным планом предусматривается формирование кластера на базе акционерного общества "Ульбинский металлургический завод".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наиболее подготовленными направлениями для организации кластеров является производство продуктов питания: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кластер молочной промышленности может формироваться на базе товарищества с ограниченной ответственностью "Восток-Молоко", в котором намечается организация расширенного производства, заготовки и комплексной переработки молока с выпуском экспортоориентированной продукции натуральных сыров;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кластер масложировой продукции будет развиваться на базе акционерного общества "Май", с внедрением прогрессивных технологий производства, первичной обработки семян подсолнечника, дооснащения цеха рафинации масла;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кластер мясной промышленности может быть создан на базе товарищества с ограниченной ответственностью "Мясная лавка", а кластер рыбной промышленности - на базе товарищества с ограниченной ответственностью "Восток-Рыба".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формирования и развития кластера "Текстильная и швейная промышленность" необходима дальнейшая сегментация, реструктуризация и перепрофилирование существующих предприятий с выделением производств, способных производить конкурентоспособную продукцию, использование франчайзинга с ориентацией на ведущие транснациональные компании, а также известные зарубежные фирмы и создание экспортоориентированных совместных и иностранных предприятий легкой промышленности города.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и развитие кластера по производству машин и оборудования, транспортных средств и электрооборудования потребует повышения эффективности использования имеющегося производственного потенциала за счет более полной загрузки производственных мощностей, расширения внутреннего производства и выпуска конкурентоспособной продукции, обеспечения потребности страны необходимыми машинами, оборудованием и запасными частями, гарантийным и послегарантийным сервисным обслуживанием, импортозамещения и повышения возможностей экспорта продукции, освоения новых технологий.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Становление горно-металлургического кластера базируется на дальнейшем развитие сырьевой базы цветной металлургии и развитии предприятий по выпуску драгоценных, цветных и черных металлов.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Генеральным планом строительное зонирование принято в соответствии с новой жилищной политикой: 37,5 % - это усадебные дома; на жилищный фонд в пятиэтажных многоквартирных домах будет приходиться 25,1 % общей площади вновь вводимого жилья; жилищный фонд в домах повышенной этажности (9 и более этажей) составит 37,4 %. Потребность в жилищном строительстве определена исходя из средней нормы обеспеченности 25 квадратных метров общей площади на одного человека на расчетный срок. При этом расчетная обеспеченность жильем дифференцирована между населением, тяготеющим к различным группам по уровню доходов.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нового жилищного строительства за период 2006-2020 годы составит 3389,6 тысяч квадратных метров общей площади, из них усадебной застройки 1272,9 и многоэтажной 2116,7 тысяч квадратных метров общей площади. В том числе в период первой очереди строительства (2006-2010 годы) 660,1 тысяч квадратных метров общей площади, из них усадебной застройки 351,6 тысяч квадратных метров общей площади и многоэтажное жилье составит 308,5 тысяч квадратных метров общей площади.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Убыль существующего ветхого и малоценного жилищного фонда может составить 207,6 тысяч квадратных метров общей площади. Территории, высвобождаемые после сноса, 109,6 га, предполагается использовать под строительство объектов социально-жилищного назначения и улично-дорожной сети. Территория площадью 100 гектар, после выбытия жилищного фонда, расположенного в зонах вредности от промышленных предприятий, будет использована для формирования санитарно-защитных зон.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строительство жилых многоэтажных многоквартирных домов потребуется 580 гектар свободной и реконструируемой территории при средней плотности населения 140 - 150 человек на 1 га территории жилого района.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строительства коттеджей с приусадебными участками необходимо отвести 1720 га. Здесь средняя плотность принята 30 человек на 1 га территории.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городе получит дальнейшее развитие коммерческо-деловая сфера, которая включает расширение региональных функций города, как центра международного бизнеса, торговли и делового общения. Поэтому намечается увеличение объемов строительства деловых и торгово-развлекательных многофункциональных центров, которые дополнят формирование основных градостроительных узлов в различных районах города.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социальной инфраструктуры города Усть-Каменогорска позволит улучшить условия жизнедеятельности населения, увеличить коммерческую эффективность, инвестиционную привлекательность территории и пополнить бюджет города, поднять уровень жизни населения.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строительства всех объектов обслуживания потребуется территории в количестве 500 гектар, в том числе на первую очередь - 117 га.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всех мероприятий, намеченных Генеральным планом, предусматривается в рамках утвержденных стратегических планов министерств и ведомств, разработанных в соответствии со следующими Государственными программами развития: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</w:t>
      </w:r>
      <w:r>
        <w:rPr>
          <w:rFonts w:ascii="Times New Roman"/>
          <w:b w:val="false"/>
          <w:i w:val="false"/>
          <w:color w:val="000000"/>
          <w:sz w:val="28"/>
        </w:rPr>
        <w:t>Стратегия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Казахстана до 2030;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Стратегический план развития Республики Казахстан до 2010;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</w:t>
      </w:r>
      <w:r>
        <w:rPr>
          <w:rFonts w:ascii="Times New Roman"/>
          <w:b w:val="false"/>
          <w:i w:val="false"/>
          <w:color w:val="000000"/>
          <w:sz w:val="28"/>
        </w:rPr>
        <w:t>Стратегия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индустриально-инновационного развития Республики Казахстан на 2003-2015 годы (Указ Президента РК от 17 мая 2003 года № 1096);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</w:t>
      </w:r>
      <w:r>
        <w:rPr>
          <w:rFonts w:ascii="Times New Roman"/>
          <w:b w:val="false"/>
          <w:i w:val="false"/>
          <w:color w:val="000000"/>
          <w:sz w:val="28"/>
        </w:rPr>
        <w:t>Концепция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экологический безопасности Республики Казахстан на 2004-2015 годы (Указ Президента РК от 3 декабря 2003 года № 1241);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программа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реформирования и развития здравоохранения Республики Казахстан на 2005-2010 годы (Указ Президента РК от 13 сентября 2004 года № 1438);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программа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2005-2010 годы (Указ Президента РК от 11 октября 2004 года № 1459);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</w:t>
      </w:r>
      <w:r>
        <w:rPr>
          <w:rFonts w:ascii="Times New Roman"/>
          <w:b w:val="false"/>
          <w:i w:val="false"/>
          <w:color w:val="000000"/>
          <w:sz w:val="28"/>
        </w:rPr>
        <w:t>Программа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урановой промышленности Республики Казахстан на 2004-2015 годы (Постановление Правительства РК от 23 января 2004 года № 78);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</w:t>
      </w:r>
      <w:r>
        <w:rPr>
          <w:rFonts w:ascii="Times New Roman"/>
          <w:b w:val="false"/>
          <w:i w:val="false"/>
          <w:color w:val="000000"/>
          <w:sz w:val="28"/>
        </w:rPr>
        <w:t>Стратегия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территориального развития Республики Казахстан до 2015 года (Указ Президента РК от 28 августа 2006 года № 167).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проектных решений Генерального плана до конца расчетного срока может уточняться в соответствии с разработкой новых стратегических программ и планов развития социально-экономического комплекса.</w:t>
      </w:r>
    </w:p>
    <w:bookmarkEnd w:id="68"/>
    <w:bookmarkStart w:name="z7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Улично-дорожная сеть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магистральных улиц и городских дорог, как наиболее стабильный элемент и каркас городской планировки, является основой транспортной инфраструктуры, что предопределяет принятие поэтапного развития системы МУГД в увязке с новой концепцией градостроительного развития города Усть-Каменогорска.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Каркас перспективной системы магистральных улиц и городских дорог предусматривает: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внешней кольцевой автодороги, образующей дугу с северо-восточной, северной, западной и юго-западной сторонами городской территории, для пропуска транзитных по отношению к городу транспортных потоков в обход города;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второй (средней) полукольцевой автодороги, проходящей в теле города и связывающей практически все периферийные зоны правобережья и левобережья по коротким направлениям;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внутреннего кольца вокруг центрального района для пропуска транспортных потоков в обход существующего городского центра транзитных по отношению к нему;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хордовой магистрали, пересекающей северную часть города от внешней кольцевой автодороги на западе и проходящей в восточном направлении за пределы Восточно-Казахстанской области в Россию;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внешних автомагистралей на города Алматы, Барнаул, Риддер и Самарское направление, радиально исходящих из ядра центрального района, а также автострады отходящей от кольцевой дороги на Семипалатинск.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требованиями СНиП РК 3.01-01-2002* от 17 января 2003 года № 11 "Градостроительство. Планировка и застройка городских и сельских поселений" предусмотрены: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транспортные развязки в разных уровнях на всех пересечениях кольцевых автодорог с магистральными улицами общегородского значения, внешними магистралями;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автодорожные путепроводы на пересечениях городских дорог и магистральных улиц с железными дорогами;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автодорожные путепроводы на пересечениях главных магистралей между собой и с районными магистралями;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городские мосты на пересечениях кольцевых автодорог, выходящих на внешние дороги, и главных магистралей общегородского значения с р. Ульба и р. Иртыш и их протоками;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светофорные регулирования движения транспорта и пешеходов на пересечениях общегородских магистралей регулируемого движения с магистралями районного значения и на пересечениях районных магистралей.</w:t>
      </w:r>
    </w:p>
    <w:bookmarkEnd w:id="82"/>
    <w:bookmarkStart w:name="z86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Водоснабжение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Проектом сохраняется принципиальная система централизованного хозяйственно-питьевого производственно-противопожарного водопровода, обслуживающая население и предприятия города, а также система технического водопровода для промышленных предприятий.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Водопотребление по городу составит на первую очередь строительства 158,35 тыс. кубических метров в сутки, на расчетный срок - 200,21 тысяч кубических метров в сутки.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мощность источников покрытия нужд в водопотреблении города Усть-Каменогорска составляет 596,7 тысяч кубических метров в сутки, что превышает потребность города в питьевой воде (200,2 тысяч кубических метров в сутки на расчетный срок).</w:t>
      </w:r>
    </w:p>
    <w:bookmarkEnd w:id="86"/>
    <w:bookmarkStart w:name="z90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Водоотведение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перспективу сохраняется существующая неполная раздельная схема канализации, при которой сточные воды от населения и промышленных предприятий единой системой отводятся на очистные сооружения. При этом производственные сточные воды, подлежащие совместному отведению и очистке с бытовыми сточными водами, должны удовлетворять требованиям приема их в хозбытовую канализацию.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расчетам водоотведения, объем стоков города Усть-Каменогорска на первую очередь строительства составит 139 тыс. кубических метров в сутки и на расчетный период составит 170 тысяч кубических метров в сутки. Проектная производительность существующих и строящейся третьей очереди канализационных очистных сооружений составляет 150 тысяч кубических метров в сутки, что обеспечит потребности города на первую очередь строительства. К расчетному сроку необходимо будет произвести дополнительное расширение канализационных очистных сооружений на 20 тысяч кубических метров в сутки (четвертая очередь).</w:t>
      </w:r>
    </w:p>
    <w:bookmarkEnd w:id="89"/>
    <w:bookmarkStart w:name="z93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Санитарная очистка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Проектом предлагается строительство мусороперерабатывающего комплекса в левобережной части, место расположения которого будет определено специальной комиссией. Такой комплекс включает перегрузку, сортировку и брикетирование твердобытовых отходов для захоронения.</w:t>
      </w:r>
    </w:p>
    <w:bookmarkEnd w:id="91"/>
    <w:bookmarkStart w:name="z95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Теплоснабжение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системе теплофикации предусматриваются следующие мероприятия: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перевооружение, модернизация акционерного общества "AES Усть-Каменогорская теплоэнергоцентраль" (далее - АО "AES Усть-Каменогорская ТЭЦ") и товарищества с ограниченной ответственностью "AES Согринская теплоэнергоцентраль" (далее - ТОО "AES Согринская ТЭЦ"), с заменой устаревшего оборудования, выработавшего свой парковый ресурс, а также дальнейшее расширение станций с доведением технического состояния до уровня современных мировых стандартов;</w:t>
      </w:r>
    </w:p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основным направлением строительства жилищного и общественного сектора, а также развитием промышленного производства города Усть-Каменогорска на левом берегу, для бездефицитного теплоснабжения Южного и Юго-Западного планировочных районов на расчетный период необходимо строительство нового источника тепла - Левобережной теплоэнергоцентрали;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и поэтапная перекладка существующих тепловых сетей в связи с длительными сверхнормативными сроками их эксплуатации, а также строительство новых магистральных тепловых сетей в зоне теплофикации новой Левобережной теплоэнергоцентраль.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отсутствием проектов реконструкции и расширения существующих теплоэнергоцентралей необходимо безотлагательное выполнение схемы теплоснабжения города с учетом материалов настоящего генерального плана для определения направления комплексного развития системы теплоснабжения с учетом структурных, технологических и экономических аспектов, а позже - технико-экономическое обоснование и проектной документации технического перевооружения и расширения всей системы теплоснабжения города Усть-Каменогорска.</w:t>
      </w:r>
    </w:p>
    <w:bookmarkEnd w:id="96"/>
    <w:bookmarkStart w:name="z100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Электроснабжение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основными источниками централизованного электроснабжения города Усть-Каменогорска и прилегающих районов являются Усть-Каменогорская гидроэлектростанция, Усть-Каменогорская теплоэнергоцентраль и Согринская теплоэнергоцентраль. Покрытие перспективных электрических нагрузок города на первую очередь и расчетный период планируется обеспечить за счет расширения существующих теплоэнергоцентралей и строительства новой Левобережной теплоэнергоцентрали.</w:t>
      </w:r>
    </w:p>
    <w:bookmarkEnd w:id="98"/>
    <w:bookmarkStart w:name="z102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Газоснабжение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десятиэтажные здания и выше, а частично и пятиэтажные оборудованы поквартирными напольными электроплитами, их общее количество в городе - порядка 30 тысяч.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этим уровень обеспеченности населения системой газоснабжения на исходный год составляет 68 %.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потребителей города сжиженными углеводородным газом производится через Усть-Каменогорскую газонаполнительную станцию, проектной мощностью 24 тысячи тонн в год. Фактический отпуск газа достиг 35-36 тысяч тонн.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весь проектный период сохраняется система обеспечения потребителей сжиженными углеводородным газом при условии решения организационных и экономических вопросов управления городским газовым хозяйством и его реализацией.</w:t>
      </w:r>
    </w:p>
    <w:bookmarkEnd w:id="103"/>
    <w:bookmarkStart w:name="z107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Зеленая зона города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зеленой зоны города Усть-Каменогорска на расчетный срок должна составлять 52,0 тысяч гектар при численности населения 400 тысяч человек.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расчетному сроку проектом предусматривается создание дополнительных зеленых поясов в пригородной зоне города Усть-Каменогорска площадью более 16,0 тысяч гектар. Формирование зеленой зоны города должно осуществляться по этапам.</w:t>
      </w:r>
    </w:p>
    <w:bookmarkEnd w:id="106"/>
    <w:bookmarkStart w:name="z110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Градостроительное освоение территории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схемой города, выданной УКФ ВК ДГП "ГосНПЦзем" и уточненной границей городской черты, представленной ГУ "Отдел архитектуры и градостроительства города Усть-Каменогорск" площадь территории города Усть-Каменогорск в пределах установленной границы городской черты составила 20270 га.</w:t>
      </w:r>
    </w:p>
    <w:bookmarkEnd w:id="108"/>
    <w:bookmarkStart w:name="z112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технико-экономические показатели проекта "Генеральный</w:t>
      </w:r>
      <w:r>
        <w:br/>
      </w:r>
      <w:r>
        <w:rPr>
          <w:rFonts w:ascii="Times New Roman"/>
          <w:b/>
          <w:i w:val="false"/>
          <w:color w:val="000000"/>
        </w:rPr>
        <w:t>план города Усть-Каменогорска Восточно-Казахстанской области"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2221"/>
        <w:gridCol w:w="773"/>
        <w:gridCol w:w="2248"/>
        <w:gridCol w:w="2981"/>
        <w:gridCol w:w="3272"/>
      </w:tblGrid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(2006 год)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(2006-2010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годы)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(2006-2020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      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всего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проектных границах города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20 270,0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20 480,0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26 355,0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Селитебные территории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5 631,0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5 930,0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9 003,0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жилых районов,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3 715,0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4 299,0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6 122,0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застройка шестиэтажная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пятиэтажная застройка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двух-четырех этажная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застройка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усадебной застройки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2 057,0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2 551,0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общественно-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деловой застройки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городского, областного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уровня,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внешкольного,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начального, среднего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образования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102,2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сооружения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торговли,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бытового обслуживания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89,5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культуры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религии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деловой,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 и коммерческой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53,1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режимные учреждения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Зеленые насаждения общего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 общегородского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улицы,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площади, автостоянки,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гаражи, АЗС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застройка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селитебные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Остальные территории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10 493,0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10 604,0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13 406,0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застройка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3 027,0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3 032,0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железнодорож-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транспорта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1 083,0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инженерной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транспортной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Дачи и огороды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4 872,0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4 710,0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6 542,0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Кладбища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 по захоронению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твердобытовых отходов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Лесопарковая зона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1 049,0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1 049,0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Санитарно-защитные зоны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Санитарно-ветрозащитные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территории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4 146,0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3 946,0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 и акватории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1 713,0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1 713,0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Водозаборы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Карьеры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Нарушенные земли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Неудобные, непригодные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(крутой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рельеф)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299,4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 города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288,5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населения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селитебной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чел/га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территорий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чел/га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строительство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Жилищный фонд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6 595,0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7 245,0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общего фонда: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дома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5 193,0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5 501,5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7 251,6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усадебного типа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1 402,0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1 743,5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2 748,4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Убыль жилищного фонда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износом более 70 %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Сохраняемый жилищный фонд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6 584,9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6 387,4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жилищного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 по этажности: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усадебный (коттеджи)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1 402,0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1 743,5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2 748,4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двух, четырехэтажный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660,8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660,8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пятиэтажный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3 192,2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3 288,8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4 039,2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шестиэтажные и выше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1 551,9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обеспеченность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общей площадью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/чел.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жилищное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тысяч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660,1/ 100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3 389,6/ 100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нового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этажности,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усадебная застройка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(коттеджи)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тысяч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351,6/ 53,3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1 272,9/ 37,5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пятиэтажная застройка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тысяч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96,6/ 14,6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847,0/25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шестиэтажная застройка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тысяч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211,9/ 32,1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1 269,7/ 37,5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ориентировочная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20,73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 счет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бюджета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5,85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культурно-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зрелищного и культурно-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бытового назначения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дошкольные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строительство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заведения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45 214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47 174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строительство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смену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7 683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строительство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Стационары всех типов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койка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4 904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строительство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торговли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торг. площ.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140,5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строительство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площ.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бытового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строительство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общественного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строительство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Клубы, Дома Культуры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строительство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Пожарные депо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строительство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обеспечение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магистральных улиц и дорог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плотность 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магистральных улиц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км/км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существующих улиц и дорог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Инженерное оборудование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потребление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120,66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158,34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200,21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хозяйственно-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питьевые нужды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74,88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96,88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134,77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производственные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нужды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45,78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61,46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головных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водопровода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120,66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158,35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200,21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источники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водоснабжения: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водозаборы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поверхностных источников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24,72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30,46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водозаборы из подземных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источников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/год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44,04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Водопотребление в среднем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сутки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л/сут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хозяйственно-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питьевые нужды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л/сут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Водоотведение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поступление сточных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 всего,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119,52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139,07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бытовая канализация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74,88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85,46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112,29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44,64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53,61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канализационных очистных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119,52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139,07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потребление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коммунально-бытовые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нужды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МВт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241,9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275,6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Электропотребление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 на 1 человека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на коммунально-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бытовые нужды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22 626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Теплоснабжение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Суммарные тепловые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нагрузки - всего,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Гкал/ч 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1 305,07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1 719,59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2 714,24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жилищно-общественный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Гкал/ч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1 172,15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1 305,64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1 887,24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Гкал/ч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132,92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413,95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 тепловых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нагрузок от: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"AES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Усть-Каменогорская ТЭЦ"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Гкал/ч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959,1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1099,0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"AES Согринская ТЭЦ"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Гкал/ч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Локальные котельные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Гкал/ч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Левобережная ТЭЦ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Гкал/ч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Децентрализованные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Гкал/ч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342,32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222,25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Гкал/ч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Газоснабжение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сжиженного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газа - всего,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тонн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год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коммунально-бытовые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нужды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тонн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год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производственные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нужды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тонн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год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Инженерная подготовка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ливневой канализации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защитных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Прогнозируемый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инвестиционный объем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различных источников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финансирования, всего/из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 зa счет бюджета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89,28/45,78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332,0/137,0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зона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пригородной зоне)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