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716a" w14:textId="a997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w:t>
      </w:r>
    </w:p>
    <w:p>
      <w:pPr>
        <w:spacing w:after="0"/>
        <w:ind w:left="0"/>
        <w:jc w:val="both"/>
      </w:pPr>
      <w:r>
        <w:rPr>
          <w:rFonts w:ascii="Times New Roman"/>
          <w:b w:val="false"/>
          <w:i w:val="false"/>
          <w:color w:val="000000"/>
          <w:sz w:val="28"/>
        </w:rPr>
        <w:t>Постановление Правительства Республики Казахстан от 23 июля 2009 года № 1124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Утвердить Соглашение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 подписанное в городе Кишиневе 14 ноября 2008 года.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борьбе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незаконным изготовлением и оборотом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огнестрельного оружия, боеприпасов, взрывчатых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веществ и взрывных устройств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в борьбе с незаконным изготовлением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оборотом огнестрельного оружия, боеприпасов, взрывчатых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веществ и взрывных устройств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
</w:t>
      </w:r>
      <w:r>
        <w:br/>
      </w:r>
      <w:r>
        <w:rPr>
          <w:rFonts w:ascii="Times New Roman"/>
          <w:b w:val="false"/>
          <w:i w:val="false"/>
          <w:color w:val="000000"/>
          <w:sz w:val="28"/>
        </w:rPr>
        <w:t>
</w:t>
      </w:r>
      <w:r>
        <w:rPr>
          <w:rFonts w:ascii="Times New Roman"/>
          <w:b w:val="false"/>
          <w:i w:val="false"/>
          <w:color w:val="000000"/>
          <w:sz w:val="28"/>
        </w:rPr>
        <w:t>
      выражая обеспокоенность в связи с увеличением масштабов незаконного изготовления и оборота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отмечая, что для совершения преступлений все чаще используются огнестрельное оружие, боеприпасы, взрывчатые вещества и взрывные устройства,
</w:t>
      </w:r>
      <w:r>
        <w:br/>
      </w:r>
      <w:r>
        <w:rPr>
          <w:rFonts w:ascii="Times New Roman"/>
          <w:b w:val="false"/>
          <w:i w:val="false"/>
          <w:color w:val="000000"/>
          <w:sz w:val="28"/>
        </w:rPr>
        <w:t>
</w:t>
      </w:r>
      <w:r>
        <w:rPr>
          <w:rFonts w:ascii="Times New Roman"/>
          <w:b w:val="false"/>
          <w:i w:val="false"/>
          <w:color w:val="000000"/>
          <w:sz w:val="28"/>
        </w:rPr>
        <w:t>
      признавая, что незаконное изготовление и оборот огнестрельного оружия, боеприпасов, взрывчатых веществ и взрывных устройств приобретают транснациональный характер и борьба с ними требует взаимодействия и координации усилий в рамках международного сообщества,
</w:t>
      </w:r>
      <w:r>
        <w:br/>
      </w:r>
      <w:r>
        <w:rPr>
          <w:rFonts w:ascii="Times New Roman"/>
          <w:b w:val="false"/>
          <w:i w:val="false"/>
          <w:color w:val="000000"/>
          <w:sz w:val="28"/>
        </w:rPr>
        <w:t>
</w:t>
      </w:r>
      <w:r>
        <w:rPr>
          <w:rFonts w:ascii="Times New Roman"/>
          <w:b w:val="false"/>
          <w:i w:val="false"/>
          <w:color w:val="000000"/>
          <w:sz w:val="28"/>
        </w:rPr>
        <w:t>
      исходя из совместного стремления вести эффективную борьбу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руководствуясь международными договорами в этой сфере, участниками которых являются Стороны, а также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Соглашения перечисленные ниже понятия означают:
</w:t>
      </w:r>
      <w:r>
        <w:br/>
      </w:r>
      <w:r>
        <w:rPr>
          <w:rFonts w:ascii="Times New Roman"/>
          <w:b w:val="false"/>
          <w:i w:val="false"/>
          <w:color w:val="000000"/>
          <w:sz w:val="28"/>
        </w:rPr>
        <w:t>
</w:t>
      </w:r>
      <w:r>
        <w:rPr>
          <w:rFonts w:ascii="Times New Roman"/>
          <w:b w:val="false"/>
          <w:i w:val="false"/>
          <w:color w:val="000000"/>
          <w:sz w:val="28"/>
        </w:rPr>
        <w:t>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r>
        <w:br/>
      </w:r>
      <w:r>
        <w:rPr>
          <w:rFonts w:ascii="Times New Roman"/>
          <w:b w:val="false"/>
          <w:i w:val="false"/>
          <w:color w:val="000000"/>
          <w:sz w:val="28"/>
        </w:rPr>
        <w:t>
</w:t>
      </w:r>
      <w:r>
        <w:rPr>
          <w:rFonts w:ascii="Times New Roman"/>
          <w:b w:val="false"/>
          <w:i w:val="false"/>
          <w:color w:val="000000"/>
          <w:sz w:val="28"/>
        </w:rPr>
        <w:t>
      "взрывчатое вещество" - конденсированное химическое вещество или смесь веществ, способных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w:t>
      </w:r>
      <w:r>
        <w:br/>
      </w:r>
      <w:r>
        <w:rPr>
          <w:rFonts w:ascii="Times New Roman"/>
          <w:b w:val="false"/>
          <w:i w:val="false"/>
          <w:color w:val="000000"/>
          <w:sz w:val="28"/>
        </w:rPr>
        <w:t>
</w:t>
      </w:r>
      <w:r>
        <w:rPr>
          <w:rFonts w:ascii="Times New Roman"/>
          <w:b w:val="false"/>
          <w:i w:val="false"/>
          <w:color w:val="000000"/>
          <w:sz w:val="28"/>
        </w:rPr>
        <w:t>
      "взрывное устройство" - промышленное или самодельное изделие, функционально объединяющее взрывчатое вещество и приспособление для инициирования взрыва;
</w:t>
      </w:r>
      <w:r>
        <w:br/>
      </w:r>
      <w:r>
        <w:rPr>
          <w:rFonts w:ascii="Times New Roman"/>
          <w:b w:val="false"/>
          <w:i w:val="false"/>
          <w:color w:val="000000"/>
          <w:sz w:val="28"/>
        </w:rPr>
        <w:t>
</w:t>
      </w:r>
      <w:r>
        <w:rPr>
          <w:rFonts w:ascii="Times New Roman"/>
          <w:b w:val="false"/>
          <w:i w:val="false"/>
          <w:color w:val="000000"/>
          <w:sz w:val="28"/>
        </w:rPr>
        <w:t>
      "контролируемая поставка" - оперативно-розыскное мероприятие, связанное с транспортировкой по территории одного или нескольких государств Сторон огнестрельного оружия, боеприпасов, взрывчатых веществ и взрывных устройств, осуществляемое с ведома и под контролем компетентных органов;
</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государственной власти государств Сторон, на которые в соответствии с национальным законодательством государств Сторон возложены задачи предупреждения и борьбы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"незаконное изготовление оружия" - несанкционированное в соответствии с национальным законодательством государств Сторон изготовление огнестрельного оружия, основных частей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"незаконный оборот оружия" - оборот огнестрельного оружия, боеприпасов, взрывчатых веществ и взрывных устройств, осуществляемый в нарушение национального законодательства государств Сторон;
</w:t>
      </w:r>
      <w:r>
        <w:br/>
      </w:r>
      <w:r>
        <w:rPr>
          <w:rFonts w:ascii="Times New Roman"/>
          <w:b w:val="false"/>
          <w:i w:val="false"/>
          <w:color w:val="000000"/>
          <w:sz w:val="28"/>
        </w:rPr>
        <w:t>
</w:t>
      </w:r>
      <w:r>
        <w:rPr>
          <w:rFonts w:ascii="Times New Roman"/>
          <w:b w:val="false"/>
          <w:i w:val="false"/>
          <w:color w:val="000000"/>
          <w:sz w:val="28"/>
        </w:rPr>
        <w:t>
      "огнестрельное оружие" - оружие,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 а также его основные части;
</w:t>
      </w:r>
      <w:r>
        <w:br/>
      </w:r>
      <w:r>
        <w:rPr>
          <w:rFonts w:ascii="Times New Roman"/>
          <w:b w:val="false"/>
          <w:i w:val="false"/>
          <w:color w:val="000000"/>
          <w:sz w:val="28"/>
        </w:rPr>
        <w:t>
</w:t>
      </w:r>
      <w:r>
        <w:rPr>
          <w:rFonts w:ascii="Times New Roman"/>
          <w:b w:val="false"/>
          <w:i w:val="false"/>
          <w:color w:val="000000"/>
          <w:sz w:val="28"/>
        </w:rPr>
        <w:t>
      "основные части огнестрельного оружия" - ствол, затвор, барабан, рамка, ствольная коробка.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осуществляют сотрудничество в предупреждении, выявлении, пресечении и раскрытии преступлений, связанных с незаконным изготовлением и оборотом оружия, через компетентные органы своих государств.
</w:t>
      </w:r>
      <w:r>
        <w:br/>
      </w:r>
      <w:r>
        <w:rPr>
          <w:rFonts w:ascii="Times New Roman"/>
          <w:b w:val="false"/>
          <w:i w:val="false"/>
          <w:color w:val="000000"/>
          <w:sz w:val="28"/>
        </w:rPr>
        <w:t>
</w:t>
      </w:r>
      <w:r>
        <w:rPr>
          <w:rFonts w:ascii="Times New Roman"/>
          <w:b w:val="false"/>
          <w:i w:val="false"/>
          <w:color w:val="000000"/>
          <w:sz w:val="28"/>
        </w:rPr>
        <w:t>
      2.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Об изменениях перечня компетентных органов каждая из Сторон в течение 30 дней письменно уведомляет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осуществляют сотрудничество по следующим направлениям:
</w:t>
      </w:r>
      <w:r>
        <w:br/>
      </w:r>
      <w:r>
        <w:rPr>
          <w:rFonts w:ascii="Times New Roman"/>
          <w:b w:val="false"/>
          <w:i w:val="false"/>
          <w:color w:val="000000"/>
          <w:sz w:val="28"/>
        </w:rPr>
        <w:t>
</w:t>
      </w:r>
      <w:r>
        <w:rPr>
          <w:rFonts w:ascii="Times New Roman"/>
          <w:b w:val="false"/>
          <w:i w:val="false"/>
          <w:color w:val="000000"/>
          <w:sz w:val="28"/>
        </w:rPr>
        <w:t>
      совершенствование договорно-правовой базы сотрудничества Сторон и содействие гармонизации законодательства государств Сторон в сфере борьбы с незаконным изготовлением и оборотом оружия;
</w:t>
      </w:r>
      <w:r>
        <w:br/>
      </w:r>
      <w:r>
        <w:rPr>
          <w:rFonts w:ascii="Times New Roman"/>
          <w:b w:val="false"/>
          <w:i w:val="false"/>
          <w:color w:val="000000"/>
          <w:sz w:val="28"/>
        </w:rPr>
        <w:t>
</w:t>
      </w:r>
      <w:r>
        <w:rPr>
          <w:rFonts w:ascii="Times New Roman"/>
          <w:b w:val="false"/>
          <w:i w:val="false"/>
          <w:color w:val="000000"/>
          <w:sz w:val="28"/>
        </w:rPr>
        <w:t>
      выработка согласованной стратегии и совместных мер борьбы с незаконным изготовлением и оборотом оружия;
</w:t>
      </w:r>
      <w:r>
        <w:br/>
      </w:r>
      <w:r>
        <w:rPr>
          <w:rFonts w:ascii="Times New Roman"/>
          <w:b w:val="false"/>
          <w:i w:val="false"/>
          <w:color w:val="000000"/>
          <w:sz w:val="28"/>
        </w:rPr>
        <w:t>
</w:t>
      </w:r>
      <w:r>
        <w:rPr>
          <w:rFonts w:ascii="Times New Roman"/>
          <w:b w:val="false"/>
          <w:i w:val="false"/>
          <w:color w:val="000000"/>
          <w:sz w:val="28"/>
        </w:rPr>
        <w:t>
      координация и совершенствование механизмов взаимодействия компетентных органов в области противодействия незаконному изготовлению и обороту оружия;
</w:t>
      </w:r>
      <w:r>
        <w:br/>
      </w:r>
      <w:r>
        <w:rPr>
          <w:rFonts w:ascii="Times New Roman"/>
          <w:b w:val="false"/>
          <w:i w:val="false"/>
          <w:color w:val="000000"/>
          <w:sz w:val="28"/>
        </w:rPr>
        <w:t>
</w:t>
      </w:r>
      <w:r>
        <w:rPr>
          <w:rFonts w:ascii="Times New Roman"/>
          <w:b w:val="false"/>
          <w:i w:val="false"/>
          <w:color w:val="000000"/>
          <w:sz w:val="28"/>
        </w:rPr>
        <w:t>
      создание совместного банка данных о транснациональных преступных группах, их лидерах и участниках, причастных к незаконному изготовлению и обороту оружия;
</w:t>
      </w:r>
      <w:r>
        <w:br/>
      </w:r>
      <w:r>
        <w:rPr>
          <w:rFonts w:ascii="Times New Roman"/>
          <w:b w:val="false"/>
          <w:i w:val="false"/>
          <w:color w:val="000000"/>
          <w:sz w:val="28"/>
        </w:rPr>
        <w:t>
</w:t>
      </w:r>
      <w:r>
        <w:rPr>
          <w:rFonts w:ascii="Times New Roman"/>
          <w:b w:val="false"/>
          <w:i w:val="false"/>
          <w:color w:val="000000"/>
          <w:sz w:val="28"/>
        </w:rPr>
        <w:t>
      взаимодействие в международных организациях и международных форумах по вопросам противодействия незаконному изготовлению и обороту оружия;
</w:t>
      </w:r>
      <w:r>
        <w:br/>
      </w:r>
      <w:r>
        <w:rPr>
          <w:rFonts w:ascii="Times New Roman"/>
          <w:b w:val="false"/>
          <w:i w:val="false"/>
          <w:color w:val="000000"/>
          <w:sz w:val="28"/>
        </w:rPr>
        <w:t>
</w:t>
      </w:r>
      <w:r>
        <w:rPr>
          <w:rFonts w:ascii="Times New Roman"/>
          <w:b w:val="false"/>
          <w:i w:val="false"/>
          <w:color w:val="000000"/>
          <w:sz w:val="28"/>
        </w:rPr>
        <w:t>
      проведение совместных и/или согласованных мероприятий по пресечению незаконного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2. Порядок сотрудничества компетентных органов по конкретным направлениям может также определяться на основе взаимных договоренностей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осуществляют сотрудничество в следующих формах:
</w:t>
      </w:r>
      <w:r>
        <w:br/>
      </w:r>
      <w:r>
        <w:rPr>
          <w:rFonts w:ascii="Times New Roman"/>
          <w:b w:val="false"/>
          <w:i w:val="false"/>
          <w:color w:val="000000"/>
          <w:sz w:val="28"/>
        </w:rPr>
        <w:t>
</w:t>
      </w:r>
      <w:r>
        <w:rPr>
          <w:rFonts w:ascii="Times New Roman"/>
          <w:b w:val="false"/>
          <w:i w:val="false"/>
          <w:color w:val="000000"/>
          <w:sz w:val="28"/>
        </w:rPr>
        <w:t>
      а) обмен информацией о:
</w:t>
      </w:r>
      <w:r>
        <w:br/>
      </w:r>
      <w:r>
        <w:rPr>
          <w:rFonts w:ascii="Times New Roman"/>
          <w:b w:val="false"/>
          <w:i w:val="false"/>
          <w:color w:val="000000"/>
          <w:sz w:val="28"/>
        </w:rPr>
        <w:t>
</w:t>
      </w:r>
      <w:r>
        <w:rPr>
          <w:rFonts w:ascii="Times New Roman"/>
          <w:b w:val="false"/>
          <w:i w:val="false"/>
          <w:color w:val="000000"/>
          <w:sz w:val="28"/>
        </w:rPr>
        <w:t>
      готовящихся или совершенных преступлениях, связанных с незаконным изготовлением и оборотом оружия, и причастных к ним лицах и организациях;
</w:t>
      </w:r>
      <w:r>
        <w:br/>
      </w:r>
      <w:r>
        <w:rPr>
          <w:rFonts w:ascii="Times New Roman"/>
          <w:b w:val="false"/>
          <w:i w:val="false"/>
          <w:color w:val="000000"/>
          <w:sz w:val="28"/>
        </w:rPr>
        <w:t>
</w:t>
      </w:r>
      <w:r>
        <w:rPr>
          <w:rFonts w:ascii="Times New Roman"/>
          <w:b w:val="false"/>
          <w:i w:val="false"/>
          <w:color w:val="000000"/>
          <w:sz w:val="28"/>
        </w:rPr>
        <w:t>
      выявленных новых методах криминального применения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местах незаконного изготовления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выявленных новых незаконных способах переделки огнестрельного оружия и боеприпасов для повышения их поражающих свойств;
</w:t>
      </w:r>
      <w:r>
        <w:br/>
      </w:r>
      <w:r>
        <w:rPr>
          <w:rFonts w:ascii="Times New Roman"/>
          <w:b w:val="false"/>
          <w:i w:val="false"/>
          <w:color w:val="000000"/>
          <w:sz w:val="28"/>
        </w:rPr>
        <w:t>
</w:t>
      </w:r>
      <w:r>
        <w:rPr>
          <w:rFonts w:ascii="Times New Roman"/>
          <w:b w:val="false"/>
          <w:i w:val="false"/>
          <w:color w:val="000000"/>
          <w:sz w:val="28"/>
        </w:rPr>
        <w:t>
      выявленных правонарушениях, которые могут способствовать совершению преступлений в сфере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практике изъятия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новых методах предупреждения, выявления, пресечения и раскрытия фактов незаконного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б) исполнение запросов о проведении оперативно-розыскных мероприятий;
</w:t>
      </w:r>
      <w:r>
        <w:br/>
      </w:r>
      <w:r>
        <w:rPr>
          <w:rFonts w:ascii="Times New Roman"/>
          <w:b w:val="false"/>
          <w:i w:val="false"/>
          <w:color w:val="000000"/>
          <w:sz w:val="28"/>
        </w:rPr>
        <w:t>
</w:t>
      </w:r>
      <w:r>
        <w:rPr>
          <w:rFonts w:ascii="Times New Roman"/>
          <w:b w:val="false"/>
          <w:i w:val="false"/>
          <w:color w:val="000000"/>
          <w:sz w:val="28"/>
        </w:rPr>
        <w:t>
      в) планирование и осуществление совместных и/или скоординированных профилактических и оперативно-розыскных мероприятий, в том числе с использованием метода контролируемой поставки;
</w:t>
      </w:r>
      <w:r>
        <w:br/>
      </w:r>
      <w:r>
        <w:rPr>
          <w:rFonts w:ascii="Times New Roman"/>
          <w:b w:val="false"/>
          <w:i w:val="false"/>
          <w:color w:val="000000"/>
          <w:sz w:val="28"/>
        </w:rPr>
        <w:t>
</w:t>
      </w:r>
      <w:r>
        <w:rPr>
          <w:rFonts w:ascii="Times New Roman"/>
          <w:b w:val="false"/>
          <w:i w:val="false"/>
          <w:color w:val="000000"/>
          <w:sz w:val="28"/>
        </w:rPr>
        <w:t>
      г) обмен опытом работы, проведение рабочих встреч, консультаций, совещаний, практических конференций и семинаров;
</w:t>
      </w:r>
      <w:r>
        <w:br/>
      </w:r>
      <w:r>
        <w:rPr>
          <w:rFonts w:ascii="Times New Roman"/>
          <w:b w:val="false"/>
          <w:i w:val="false"/>
          <w:color w:val="000000"/>
          <w:sz w:val="28"/>
        </w:rPr>
        <w:t>
</w:t>
      </w:r>
      <w:r>
        <w:rPr>
          <w:rFonts w:ascii="Times New Roman"/>
          <w:b w:val="false"/>
          <w:i w:val="false"/>
          <w:color w:val="000000"/>
          <w:sz w:val="28"/>
        </w:rPr>
        <w:t>
      д) содействие в подготовке кадров и повышении квалификации специалистов;
</w:t>
      </w:r>
      <w:r>
        <w:br/>
      </w:r>
      <w:r>
        <w:rPr>
          <w:rFonts w:ascii="Times New Roman"/>
          <w:b w:val="false"/>
          <w:i w:val="false"/>
          <w:color w:val="000000"/>
          <w:sz w:val="28"/>
        </w:rPr>
        <w:t>
</w:t>
      </w:r>
      <w:r>
        <w:rPr>
          <w:rFonts w:ascii="Times New Roman"/>
          <w:b w:val="false"/>
          <w:i w:val="false"/>
          <w:color w:val="000000"/>
          <w:sz w:val="28"/>
        </w:rPr>
        <w:t>
      е) проведение совместных научных исследований по вопросам, представляющим взаимный интерес;
</w:t>
      </w:r>
      <w:r>
        <w:br/>
      </w:r>
      <w:r>
        <w:rPr>
          <w:rFonts w:ascii="Times New Roman"/>
          <w:b w:val="false"/>
          <w:i w:val="false"/>
          <w:color w:val="000000"/>
          <w:sz w:val="28"/>
        </w:rPr>
        <w:t>
</w:t>
      </w:r>
      <w:r>
        <w:rPr>
          <w:rFonts w:ascii="Times New Roman"/>
          <w:b w:val="false"/>
          <w:i w:val="false"/>
          <w:color w:val="000000"/>
          <w:sz w:val="28"/>
        </w:rPr>
        <w:t>
      ж) обмен законодательными и иными нормативными правовыми актами, результатами научных исследований и методическими рекомендациями.
</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вопросов выдачи и оказания правовой помощи по уголовным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используют метод контролируемой поставки на основе взаимных договоренностей в целях пресечения и раскрытия преступлений, связанных с незаконным изготовлением и оборотом оружия, а также установления лиц, к ним причастных.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Соглашение не препятствует Сторонам в определении и развитии иных взаимоприемлемых направлений и форм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Сотрудничество в рамках настоящего Соглашения осуществляется на основании запроса об оказании содействия, а также путем предоставления информации.
</w:t>
      </w:r>
      <w:r>
        <w:br/>
      </w:r>
      <w:r>
        <w:rPr>
          <w:rFonts w:ascii="Times New Roman"/>
          <w:b w:val="false"/>
          <w:i w:val="false"/>
          <w:color w:val="000000"/>
          <w:sz w:val="28"/>
        </w:rPr>
        <w:t>
</w:t>
      </w:r>
      <w:r>
        <w:rPr>
          <w:rFonts w:ascii="Times New Roman"/>
          <w:b w:val="false"/>
          <w:i w:val="false"/>
          <w:color w:val="000000"/>
          <w:sz w:val="28"/>
        </w:rPr>
        <w:t>
      Запрос или информация направляются в письменной форме.
</w:t>
      </w:r>
      <w:r>
        <w:br/>
      </w:r>
      <w:r>
        <w:rPr>
          <w:rFonts w:ascii="Times New Roman"/>
          <w:b w:val="false"/>
          <w:i w:val="false"/>
          <w:color w:val="000000"/>
          <w:sz w:val="28"/>
        </w:rPr>
        <w:t>
</w:t>
      </w:r>
      <w:r>
        <w:rPr>
          <w:rFonts w:ascii="Times New Roman"/>
          <w:b w:val="false"/>
          <w:i w:val="false"/>
          <w:color w:val="000000"/>
          <w:sz w:val="28"/>
        </w:rPr>
        <w:t>
      В случаях, не терпящих отлагательства, запрос или информация, оформленные в соответствии с правилами, установленными настоящей статьей, могут быть направлены по факсимильной связи, а также с использованием иных средств коммуникации. Одновременно оригинал запроса или информации должен быть направлен почтой или курьером.
</w:t>
      </w:r>
      <w:r>
        <w:br/>
      </w:r>
      <w:r>
        <w:rPr>
          <w:rFonts w:ascii="Times New Roman"/>
          <w:b w:val="false"/>
          <w:i w:val="false"/>
          <w:color w:val="000000"/>
          <w:sz w:val="28"/>
        </w:rPr>
        <w:t>
</w:t>
      </w:r>
      <w:r>
        <w:rPr>
          <w:rFonts w:ascii="Times New Roman"/>
          <w:b w:val="false"/>
          <w:i w:val="false"/>
          <w:color w:val="000000"/>
          <w:sz w:val="28"/>
        </w:rPr>
        <w:t>
      В безотлагательных случаях запрос или информация могут также передаваться устно, но не позднее чем через 72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w:t>
      </w:r>
      <w:r>
        <w:rPr>
          <w:rFonts w:ascii="Times New Roman"/>
          <w:b w:val="false"/>
          <w:i w:val="false"/>
          <w:color w:val="000000"/>
          <w:sz w:val="28"/>
        </w:rPr>
        <w:t>
      2. Запрос должен содержать:
</w:t>
      </w:r>
      <w:r>
        <w:br/>
      </w:r>
      <w:r>
        <w:rPr>
          <w:rFonts w:ascii="Times New Roman"/>
          <w:b w:val="false"/>
          <w:i w:val="false"/>
          <w:color w:val="000000"/>
          <w:sz w:val="28"/>
        </w:rPr>
        <w:t>
</w:t>
      </w:r>
      <w:r>
        <w:rPr>
          <w:rFonts w:ascii="Times New Roman"/>
          <w:b w:val="false"/>
          <w:i w:val="false"/>
          <w:color w:val="000000"/>
          <w:sz w:val="28"/>
        </w:rPr>
        <w:t>
      наименования компетентных органов государств запрашивающей и запрашиваемой Сторон;
</w:t>
      </w:r>
      <w:r>
        <w:br/>
      </w:r>
      <w:r>
        <w:rPr>
          <w:rFonts w:ascii="Times New Roman"/>
          <w:b w:val="false"/>
          <w:i w:val="false"/>
          <w:color w:val="000000"/>
          <w:sz w:val="28"/>
        </w:rPr>
        <w:t>
</w:t>
      </w:r>
      <w:r>
        <w:rPr>
          <w:rFonts w:ascii="Times New Roman"/>
          <w:b w:val="false"/>
          <w:i w:val="false"/>
          <w:color w:val="000000"/>
          <w:sz w:val="28"/>
        </w:rPr>
        <w:t>
      цели и обоснования запроса;
</w:t>
      </w:r>
      <w:r>
        <w:br/>
      </w:r>
      <w:r>
        <w:rPr>
          <w:rFonts w:ascii="Times New Roman"/>
          <w:b w:val="false"/>
          <w:i w:val="false"/>
          <w:color w:val="000000"/>
          <w:sz w:val="28"/>
        </w:rPr>
        <w:t>
</w:t>
      </w:r>
      <w:r>
        <w:rPr>
          <w:rFonts w:ascii="Times New Roman"/>
          <w:b w:val="false"/>
          <w:i w:val="false"/>
          <w:color w:val="000000"/>
          <w:sz w:val="28"/>
        </w:rPr>
        <w:t>
      описание содержания запрашиваемого содействия;
</w:t>
      </w:r>
      <w:r>
        <w:br/>
      </w:r>
      <w:r>
        <w:rPr>
          <w:rFonts w:ascii="Times New Roman"/>
          <w:b w:val="false"/>
          <w:i w:val="false"/>
          <w:color w:val="000000"/>
          <w:sz w:val="28"/>
        </w:rPr>
        <w:t>
</w:t>
      </w:r>
      <w:r>
        <w:rPr>
          <w:rFonts w:ascii="Times New Roman"/>
          <w:b w:val="false"/>
          <w:i w:val="false"/>
          <w:color w:val="000000"/>
          <w:sz w:val="28"/>
        </w:rPr>
        <w:t>
      другую информацию, которая необходима или может быть полезна для своевременного и надлежащего исполнения запроса;
</w:t>
      </w:r>
      <w:r>
        <w:br/>
      </w:r>
      <w:r>
        <w:rPr>
          <w:rFonts w:ascii="Times New Roman"/>
          <w:b w:val="false"/>
          <w:i w:val="false"/>
          <w:color w:val="000000"/>
          <w:sz w:val="28"/>
        </w:rPr>
        <w:t>
</w:t>
      </w:r>
      <w:r>
        <w:rPr>
          <w:rFonts w:ascii="Times New Roman"/>
          <w:b w:val="false"/>
          <w:i w:val="false"/>
          <w:color w:val="000000"/>
          <w:sz w:val="28"/>
        </w:rPr>
        <w:t>
      указание, если это необходимо, степени ограничения доступа к информации.
</w:t>
      </w:r>
      <w:r>
        <w:br/>
      </w:r>
      <w:r>
        <w:rPr>
          <w:rFonts w:ascii="Times New Roman"/>
          <w:b w:val="false"/>
          <w:i w:val="false"/>
          <w:color w:val="000000"/>
          <w:sz w:val="28"/>
        </w:rPr>
        <w:t>
</w:t>
      </w:r>
      <w:r>
        <w:rPr>
          <w:rFonts w:ascii="Times New Roman"/>
          <w:b w:val="false"/>
          <w:i w:val="false"/>
          <w:color w:val="000000"/>
          <w:sz w:val="28"/>
        </w:rPr>
        <w:t>
      3. Запрос или информация, передаваемые в письменной форме, подписываются руководителем компетентного органа государства запрашивающей Стороны или его заместителями и удостоверяются гербовой печатью этого компетентного органа.
</w:t>
      </w:r>
      <w:r>
        <w:br/>
      </w:r>
      <w:r>
        <w:rPr>
          <w:rFonts w:ascii="Times New Roman"/>
          <w:b w:val="false"/>
          <w:i w:val="false"/>
          <w:color w:val="000000"/>
          <w:sz w:val="28"/>
        </w:rPr>
        <w:t>
</w:t>
      </w:r>
      <w:r>
        <w:rPr>
          <w:rFonts w:ascii="Times New Roman"/>
          <w:b w:val="false"/>
          <w:i w:val="false"/>
          <w:color w:val="000000"/>
          <w:sz w:val="28"/>
        </w:rPr>
        <w:t>
      4. При возникновении сомнений в подлинности или содержании запроса или информации может быть запрошено их подтверждение либо разъяснение.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Компетентный орган государства запрашиваемой Стороны исполняет запрос в возможно короткий срок, но не превышающий 30 дней с даты его получения, за исключением исполнения запросов о проведении оперативно-розыскных мероприятий, если между Сторонами не оговорено иное, и информирует об этом компетентный орган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2. Компетентный орган государства запрашиваемой Стороны незамедлительно уведомляет компетентный орган государства запрашивающей Стороны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w:t>
      </w:r>
      <w:r>
        <w:rPr>
          <w:rFonts w:ascii="Times New Roman"/>
          <w:b w:val="false"/>
          <w:i w:val="false"/>
          <w:color w:val="000000"/>
          <w:sz w:val="28"/>
        </w:rPr>
        <w:t>
      3. Если исполнение запроса не входит в компетенцию органа, получившего запрос, то он передает запрос другому органу своего государства, компетентному его исполнить, и незамедлительно уведомляет об этом компетентный орган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4. Компетентный орган государства запрашиваемой Стороны может запросить у компетентного органа государства запрашивающей Стороны дополнительные сведения, необходимые, по его мнению, для исполнения запроса.
</w:t>
      </w:r>
      <w:r>
        <w:br/>
      </w:r>
      <w:r>
        <w:rPr>
          <w:rFonts w:ascii="Times New Roman"/>
          <w:b w:val="false"/>
          <w:i w:val="false"/>
          <w:color w:val="000000"/>
          <w:sz w:val="28"/>
        </w:rPr>
        <w:t>
</w:t>
      </w:r>
      <w:r>
        <w:rPr>
          <w:rFonts w:ascii="Times New Roman"/>
          <w:b w:val="false"/>
          <w:i w:val="false"/>
          <w:color w:val="000000"/>
          <w:sz w:val="28"/>
        </w:rPr>
        <w:t>
      5. При исполнении запроса применяется законодательство государства запрашиваемой Стороны. По просьбе компетентного органа государства запрашивающей Стороны может быть применено законодательство государства запрашивающей Стороны, если это не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6. Компетентный орган государства запрашиваемой Стороны может разрешить представителям компетентного органа государства запрашивающей Стороны присутствовать при исполнении запроса на территории своего государства, если это не противоречит законодательству этого государства.
</w:t>
      </w:r>
      <w:r>
        <w:br/>
      </w:r>
      <w:r>
        <w:rPr>
          <w:rFonts w:ascii="Times New Roman"/>
          <w:b w:val="false"/>
          <w:i w:val="false"/>
          <w:color w:val="000000"/>
          <w:sz w:val="28"/>
        </w:rPr>
        <w:t>
</w:t>
      </w:r>
      <w:r>
        <w:rPr>
          <w:rFonts w:ascii="Times New Roman"/>
          <w:b w:val="false"/>
          <w:i w:val="false"/>
          <w:color w:val="000000"/>
          <w:sz w:val="28"/>
        </w:rPr>
        <w:t>
      7. Исполнение запроса может быть отложено или в его исполнении может быть отказано полностью или частично, если компетентный орган государства запрашиваемой Стороны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8. В исполнении запроса также может быть отказано, если деяние, в связи с которым он поступил, не является преступлением по законодательству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9. О полном или частичном отказе в исполнении запроса или задержке его исполнения компетентный орган государства запрашиваемой Стороны уведомляет компетентный орган государства запрашивающей Стороны с указанием причин отказа или задержки.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обеспечивает защиту и сохранность полученных в соответствии с настоящим Соглашением информации и документов. Степень ограничения доступа к информации и документам определяется запрашивающей Стороной.
</w:t>
      </w:r>
      <w:r>
        <w:br/>
      </w:r>
      <w:r>
        <w:rPr>
          <w:rFonts w:ascii="Times New Roman"/>
          <w:b w:val="false"/>
          <w:i w:val="false"/>
          <w:color w:val="000000"/>
          <w:sz w:val="28"/>
        </w:rPr>
        <w:t>
</w:t>
      </w:r>
      <w:r>
        <w:rPr>
          <w:rFonts w:ascii="Times New Roman"/>
          <w:b w:val="false"/>
          <w:i w:val="false"/>
          <w:color w:val="000000"/>
          <w:sz w:val="28"/>
        </w:rPr>
        <w:t>
      2.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те, в которых они запрашивались или были предоставлены.
</w:t>
      </w:r>
      <w:r>
        <w:br/>
      </w:r>
      <w:r>
        <w:rPr>
          <w:rFonts w:ascii="Times New Roman"/>
          <w:b w:val="false"/>
          <w:i w:val="false"/>
          <w:color w:val="000000"/>
          <w:sz w:val="28"/>
        </w:rPr>
        <w:t>
</w:t>
      </w:r>
      <w:r>
        <w:rPr>
          <w:rFonts w:ascii="Times New Roman"/>
          <w:b w:val="false"/>
          <w:i w:val="false"/>
          <w:color w:val="000000"/>
          <w:sz w:val="28"/>
        </w:rPr>
        <w:t>
      3. Информация и документы, полученные одной Стороной на основании настоящего Соглашения от другой Стороны, не подлежат передаче третьей стороне без предварительного письменного согласия Стороны, их предоставившей.
</w:t>
      </w:r>
      <w:r>
        <w:br/>
      </w:r>
      <w:r>
        <w:rPr>
          <w:rFonts w:ascii="Times New Roman"/>
          <w:b w:val="false"/>
          <w:i w:val="false"/>
          <w:color w:val="000000"/>
          <w:sz w:val="28"/>
        </w:rPr>
        <w:t>
</w:t>
      </w:r>
      <w:r>
        <w:rPr>
          <w:rFonts w:ascii="Times New Roman"/>
          <w:b w:val="false"/>
          <w:i w:val="false"/>
          <w:color w:val="000000"/>
          <w:sz w:val="28"/>
        </w:rPr>
        <w:t>
      4.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Споры, связанные с толкованием или применением положений настоящего Соглашения, решаются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по мере необходимости проводят консультации и совещания для анализа и оценки результатов сотрудничества в рамках настоящего Соглашения, а также выработки путей его совершенствования.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самостоятельно несут расходы, возникающие в ходе выполнения настоящего Соглашения,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Положения настоящего Соглашения не затрагивают прав и обязательств каждой из Сторон по другим международным договорам, участником которых является государство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при осуществлении сотрудничества в рамках настоящего Соглашения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Для Сторон, выполнивших необходимые процедуры позднее, настоящее Соглашение вступает в силу с даты получения депозитарием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согласию Сторон в настоящее Соглашение могут быть внесены изменения и дополнения, которые оформляются соответствующим протоколом.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Каждая Сторона может выйти из настоящего Соглашения, письменно уведомив об этом депозитарий не менее чем за шесть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Соглашение после его вступления в силу открыто для присоединения не подписавших его государств-участников Содружества Независимых Государств, а также государств, не являющихся участниками Содружества Независимых Государств, путем передачи депозитарию документа о таком присоединении.
</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государства-участника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w:t>
      </w:r>
      <w:r>
        <w:br/>
      </w:r>
      <w:r>
        <w:rPr>
          <w:rFonts w:ascii="Times New Roman"/>
          <w:b w:val="false"/>
          <w:i w:val="false"/>
          <w:color w:val="000000"/>
          <w:sz w:val="28"/>
        </w:rPr>
        <w:t>
</w:t>
      </w:r>
      <w:r>
        <w:rPr>
          <w:rFonts w:ascii="Times New Roman"/>
          <w:b w:val="false"/>
          <w:i w:val="false"/>
          <w:color w:val="000000"/>
          <w:sz w:val="28"/>
        </w:rPr>
        <w:t>
      В случае получения депозитарием уведомления государства, не являющегося участником Содружества Независимых Государств, о присоединении к настоящему Соглашению, депозитарий незамедлительно информирует об этом Стороны. Для присоединяющегося государства, не являющегося участником Содружества Независимых Государств, настоящее Соглашение вступает в силу по истечении трех месяцев с даты получения депозитарием последнего уведомления о согласии подписавших его или присоединившихся к нему государств на такое присоединение.
</w:t>
      </w:r>
    </w:p>
    <w:p>
      <w:pPr>
        <w:spacing w:after="0"/>
        <w:ind w:left="0"/>
        <w:jc w:val="both"/>
      </w:pPr>
      <w:r>
        <w:rPr>
          <w:rFonts w:ascii="Times New Roman"/>
          <w:b w:val="false"/>
          <w:i w:val="false"/>
          <w:color w:val="000000"/>
          <w:sz w:val="28"/>
        </w:rPr>
        <w:t>
      Совершено в городе Кишиневе 14 ноября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Армения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25. "О Соглашении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 принимается в редакции: "По согласию Сторон в настоящее Соглашение могут быть внесены изменения и дополнения, которые оформляются соответствующим протоколом, вступающим в силу в порядке, предусмотренном для вступления в силу настоящего Соглашения, и являющимся его неотъемлемой частью".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ТИГРАН САРКИСЯН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 принятого на заседании Совета глав правительств Содружества Независимых Государств, которое состоялось 14 ноября 2008 года в городе Кишиневе. Подлинный экземпляр вышеупомянутого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данный текст является заверенной копией аутентичной копии Соглашения о сотрудничестве государств-участников СНГ в борьбе с незаконным изготовлением и оборотом огнестрельного оружия, боеприпасов, взрывчатых веществ и взрывных устройств, совершенного 14 ноября 2008 года в городе Кишиневе.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 Пискорский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