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86d2" w14:textId="3f08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развития автомобильных дорог "Юг - Запад": Международный транзитный коридор "Западная Европа - Западный Китай" (ЦАРЕС - lb и 6b))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13 июня 2009 года № 905</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развития автомобильных дорог "Юг - Запад": Международный транзитный коридор "Западная Европа - Западный Китай" (ЦАРЕС - lb и 6b))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о займе (Проект развития автомобильных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дорог "Юг - Запад": Международный транзитный коридор "Западная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Европа - Западный Китай" (ЦАРЕС - lb и 6b)) между Республикой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8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о займе (Проект развития автомобильных дорог "Юг - Запад": Международный транзитный коридор "Западная Европа - Западный Китай" (ЦАРЕС - lb и 6b)) между Республикой Казахстан и Международным Банком Реконструкции и Развития.
</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развития автомобильных дорог "Юг - Запад": Международный транзитный коридор "Западная Европа - Западный Китай" (ЦАРЕС - lb и 6b)) между Республикой Казахстан и Международным Банком Реконструкции и Развития.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 " 2009 года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СОГЛАШЕНИЯ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развития автомобильных дорог "Юг - Запад":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(ЦАРЭС - lb и 6b))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от___________ 200__ года между РЕСПУБЛИКОЙ КАЗАХСТАН ("Заемщик") и МЕЖДУНАРОДНЫМ БАНКОМ РЕКОНСТРУКЦИИ И РАЗВИТИЯ ("Банк"). Настоящим Заемщик и Банк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двум миллиардам ста двадцати пяти миллионам долларов США (2 125 000 000 долларов США), 
</w:t>
      </w:r>
      <w:r>
        <w:rPr>
          <w:rFonts w:ascii="Times New Roman"/>
          <w:b w:val="false"/>
          <w:i/>
          <w:color w:val="000000"/>
          <w:sz w:val="28"/>
        </w:rPr>
        <w:t>
таковая сумма может периодически конвертироваться посредством Конвертации валют в соответствии с положениями Раздела 2.07 данного Соглашения
</w:t>
      </w:r>
      <w:r>
        <w:rPr>
          <w:rFonts w:ascii="Times New Roman"/>
          <w:b w:val="false"/>
          <w:i w:val="false"/>
          <w:color w:val="000000"/>
          <w:sz w:val="28"/>
        </w:rPr>
        <w:t>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Банковская комиссия за открытие займа, подлежащая уплате Заемщиком, составляет четвертую часть одного процента (0,25 %) от суммы Займа. Заемщик уплачивает Банку комиссию за открытие займа не позднее 60 дней с момента даты вступления в силу.
</w:t>
      </w:r>
      <w:r>
        <w:br/>
      </w:r>
      <w:r>
        <w:rPr>
          <w:rFonts w:ascii="Times New Roman"/>
          <w:b w:val="false"/>
          <w:i w:val="false"/>
          <w:color w:val="000000"/>
          <w:sz w:val="28"/>
        </w:rPr>
        <w:t>
      2.04. Вознаграждение, подлежащее уплате Заемщиком в течение каждого Процентного периода, будет начисляться по ставке, равной ставке LIBOR для Валюты Займа плюс переменный спред; 
</w:t>
      </w:r>
      <w:r>
        <w:rPr>
          <w:rFonts w:ascii="Times New Roman"/>
          <w:b w:val="false"/>
          <w:i/>
          <w:color w:val="000000"/>
          <w:sz w:val="28"/>
        </w:rPr>
        <w:t>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w:t>
      </w:r>
      <w:r>
        <w:rPr>
          <w:rFonts w:ascii="Times New Roman"/>
          <w:b w:val="false"/>
          <w:i w:val="false"/>
          <w:color w:val="000000"/>
          <w:sz w:val="28"/>
        </w:rPr>
        <w:t>
.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должен рассчитываться в соответствии с положениями Раздела 3.02 (d) Общих условий.
</w:t>
      </w:r>
      <w:r>
        <w:br/>
      </w:r>
      <w:r>
        <w:rPr>
          <w:rFonts w:ascii="Times New Roman"/>
          <w:b w:val="false"/>
          <w:i w:val="false"/>
          <w:color w:val="000000"/>
          <w:sz w:val="28"/>
        </w:rPr>
        <w:t>
      2.05. Датами Платежей являются 15 мая и 15 ноября каждого года.
</w:t>
      </w:r>
      <w:r>
        <w:br/>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3 к настоящему Соглашению.
</w:t>
      </w:r>
      <w:r>
        <w:br/>
      </w:r>
      <w:r>
        <w:rPr>
          <w:rFonts w:ascii="Times New Roman"/>
          <w:b w:val="false"/>
          <w:i w:val="false"/>
          <w:color w:val="000000"/>
          <w:sz w:val="28"/>
        </w:rPr>
        <w:t>
      2.07. (а) 
</w:t>
      </w:r>
      <w:r>
        <w:rPr>
          <w:rFonts w:ascii="Times New Roman"/>
          <w:b w:val="false"/>
          <w:i/>
          <w:color w:val="000000"/>
          <w:sz w:val="28"/>
        </w:rPr>
        <w:t>
Заемщик может в любое время запросить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или нижнего пределов Плавающей процентной ставки.
</w:t>
      </w:r>
      <w:r>
        <w:rPr>
          <w:rFonts w:ascii="Times New Roman"/>
          <w:b w:val="false"/>
          <w:i w:val="false"/>
          <w:color w:val="000000"/>
          <w:sz w:val="28"/>
        </w:rPr>
        <w:t>
</w:t>
      </w:r>
      <w:r>
        <w:br/>
      </w:r>
      <w:r>
        <w:rPr>
          <w:rFonts w:ascii="Times New Roman"/>
          <w:b w:val="false"/>
          <w:i w:val="false"/>
          <w:color w:val="000000"/>
          <w:sz w:val="28"/>
        </w:rPr>
        <w:t>
      (b) 
</w:t>
      </w:r>
      <w:r>
        <w:rPr>
          <w:rFonts w:ascii="Times New Roman"/>
          <w:b w:val="false"/>
          <w:i/>
          <w:color w:val="000000"/>
          <w:sz w:val="28"/>
        </w:rPr>
        <w:t>
Любое изменение, запрошенное в соответствии с параграфом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достижению целей Проекта и с этой целью осуществляет Проект через МТК РК в соответствии с положениями Статьи V Общих условий.
</w:t>
      </w:r>
      <w:r>
        <w:br/>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
</w:t>
      </w:r>
      <w:r>
        <w:br/>
      </w:r>
      <w:r>
        <w:rPr>
          <w:rFonts w:ascii="Times New Roman"/>
          <w:b w:val="false"/>
          <w:i w:val="false"/>
          <w:color w:val="000000"/>
          <w:sz w:val="28"/>
        </w:rPr>
        <w:t>
      (a) МТК заключило соглашение, по форме и по сути удовлетворительное для Банка, с КУП в целях выполнения мероприятий Проекта.
</w:t>
      </w:r>
      <w:r>
        <w:br/>
      </w:r>
      <w:r>
        <w:rPr>
          <w:rFonts w:ascii="Times New Roman"/>
          <w:b w:val="false"/>
          <w:i w:val="false"/>
          <w:color w:val="000000"/>
          <w:sz w:val="28"/>
        </w:rPr>
        <w:t>
      (b) Заемщик через МТК принял План мероприятий по РППК, удовлетворительный для Банка.
</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Представителем Заемщика является Министр финансов.
</w:t>
      </w:r>
      <w:r>
        <w:br/>
      </w:r>
      <w:r>
        <w:rPr>
          <w:rFonts w:ascii="Times New Roman"/>
          <w:b w:val="false"/>
          <w:i w:val="false"/>
          <w:color w:val="000000"/>
          <w:sz w:val="28"/>
        </w:rPr>
        <w:t>
      5.2.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Факс:
</w:t>
      </w:r>
      <w:r>
        <w:br/>
      </w:r>
      <w:r>
        <w:rPr>
          <w:rFonts w:ascii="Times New Roman"/>
          <w:b w:val="false"/>
          <w:i w:val="false"/>
          <w:color w:val="000000"/>
          <w:sz w:val="28"/>
        </w:rPr>
        <w:t>
      265126 (FILIN)       (7) (7172) 717785
</w:t>
      </w:r>
    </w:p>
    <w:p>
      <w:pPr>
        <w:spacing w:after="0"/>
        <w:ind w:left="0"/>
        <w:jc w:val="both"/>
      </w:pPr>
      <w:r>
        <w:rPr>
          <w:rFonts w:ascii="Times New Roman"/>
          <w:b w:val="false"/>
          <w:i w:val="false"/>
          <w:color w:val="000000"/>
          <w:sz w:val="28"/>
        </w:rPr>
        <w:t>
      5.03. Адрес Банка:
</w:t>
      </w:r>
    </w:p>
    <w:p>
      <w:pPr>
        <w:spacing w:after="0"/>
        <w:ind w:left="0"/>
        <w:jc w:val="both"/>
      </w:pPr>
      <w:r>
        <w:rPr>
          <w:rFonts w:ascii="Times New Roman"/>
          <w:b w:val="false"/>
          <w:i w:val="false"/>
          <w:color w:val="000000"/>
          <w:sz w:val="28"/>
        </w:rPr>
        <w:t>
      Международный Банк Реконструкции и Развития
</w:t>
      </w:r>
    </w:p>
    <w:p>
      <w:pPr>
        <w:spacing w:after="0"/>
        <w:ind w:left="0"/>
        <w:jc w:val="both"/>
      </w:pP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INTBAFRAD          248423(MCI) или 1-202-477-6391
</w:t>
      </w:r>
    </w:p>
    <w:p>
      <w:pPr>
        <w:spacing w:after="0"/>
        <w:ind w:left="0"/>
        <w:jc w:val="both"/>
      </w:pPr>
      <w:r>
        <w:rPr>
          <w:rFonts w:ascii="Times New Roman"/>
          <w:b w:val="false"/>
          <w:i w:val="false"/>
          <w:color w:val="000000"/>
          <w:sz w:val="28"/>
        </w:rPr>
        <w:t>
      Washington, D.C. 64145(MCI)
</w:t>
      </w:r>
    </w:p>
    <w:p>
      <w:pPr>
        <w:spacing w:after="0"/>
        <w:ind w:left="0"/>
        <w:jc w:val="both"/>
      </w:pPr>
      <w:r>
        <w:rPr>
          <w:rFonts w:ascii="Times New Roman"/>
          <w:b w:val="false"/>
          <w:i w:val="false"/>
          <w:color w:val="000000"/>
          <w:sz w:val="28"/>
        </w:rPr>
        <w:t>
      СОГЛАСОВАНО в г. Астана, Республика Казахстан, в день и год, указанные выше.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Кем:
</w:t>
      </w:r>
      <w:r>
        <w:br/>
      </w:r>
      <w:r>
        <w:rPr>
          <w:rFonts w:ascii="Times New Roman"/>
          <w:b w:val="false"/>
          <w:i w:val="false"/>
          <w:color w:val="000000"/>
          <w:sz w:val="28"/>
        </w:rPr>
        <w:t>
      Уполномоченным представителем
</w:t>
      </w:r>
    </w:p>
    <w:p>
      <w:pPr>
        <w:spacing w:after="0"/>
        <w:ind w:left="0"/>
        <w:jc w:val="both"/>
      </w:pPr>
      <w:r>
        <w:rPr>
          <w:rFonts w:ascii="Times New Roman"/>
          <w:b w:val="false"/>
          <w:i w:val="false"/>
          <w:color w:val="000000"/>
          <w:sz w:val="28"/>
        </w:rPr>
        <w:t>
      МЕЖДУНАРОДНЫЙ БАНК
</w:t>
      </w:r>
      <w:r>
        <w:br/>
      </w:r>
      <w:r>
        <w:rPr>
          <w:rFonts w:ascii="Times New Roman"/>
          <w:b w:val="false"/>
          <w:i w:val="false"/>
          <w:color w:val="000000"/>
          <w:sz w:val="28"/>
        </w:rPr>
        <w:t>
      РЕКОНСТРУКЦИИ И РАЗВИТИЯ
</w:t>
      </w:r>
    </w:p>
    <w:p>
      <w:pPr>
        <w:spacing w:after="0"/>
        <w:ind w:left="0"/>
        <w:jc w:val="both"/>
      </w:pPr>
      <w:r>
        <w:rPr>
          <w:rFonts w:ascii="Times New Roman"/>
          <w:b w:val="false"/>
          <w:i w:val="false"/>
          <w:color w:val="000000"/>
          <w:sz w:val="28"/>
        </w:rPr>
        <w:t>
      Кем:
</w:t>
      </w:r>
      <w:r>
        <w:br/>
      </w:r>
      <w:r>
        <w:rPr>
          <w:rFonts w:ascii="Times New Roman"/>
          <w:b w:val="false"/>
          <w:i w:val="false"/>
          <w:color w:val="000000"/>
          <w:sz w:val="28"/>
        </w:rPr>
        <w:t>
      Уполномоченным представителем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повышении эффективности работы транспорта на участках автодороги от границы Кызылординской и Актюбинской областей до Шымкента, совершенствовании управления автомобильными дорогами и повышении уровня безопасности дорожного движения в Казахстане.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1
</w:t>
      </w:r>
      <w:r>
        <w:rPr>
          <w:rFonts w:ascii="Times New Roman"/>
          <w:b w:val="false"/>
          <w:i w:val="false"/>
          <w:color w:val="000000"/>
          <w:sz w:val="28"/>
        </w:rPr>
        <w:t>
: 
</w:t>
      </w:r>
      <w:r>
        <w:rPr>
          <w:rFonts w:ascii="Times New Roman"/>
          <w:b w:val="false"/>
          <w:i w:val="false"/>
          <w:color w:val="000000"/>
          <w:sz w:val="28"/>
          <w:u w:val="single"/>
        </w:rPr>
        <w:t>
Модернизация и реконструкция участков автодороги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Кызылординской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Строительные работы для оказания поддержки при проведении модернизации и реконструкции участков автодороги в Кызылординской области, исключая объездную дорогу в Кызылорде.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2
</w:t>
      </w:r>
      <w:r>
        <w:rPr>
          <w:rFonts w:ascii="Times New Roman"/>
          <w:b w:val="false"/>
          <w:i w:val="false"/>
          <w:color w:val="000000"/>
          <w:sz w:val="28"/>
        </w:rPr>
        <w:t>
: 
</w:t>
      </w:r>
      <w:r>
        <w:rPr>
          <w:rFonts w:ascii="Times New Roman"/>
          <w:b w:val="false"/>
          <w:i w:val="false"/>
          <w:color w:val="000000"/>
          <w:sz w:val="28"/>
          <w:u w:val="single"/>
        </w:rPr>
        <w:t>
Модернизация и реконструкция участков автодороги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Южно-Казахстанской области (гp. Кызылординской обл.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Шымкент
</w:t>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Строительные работы для оказания поддержки при проведении модернизации и реконструкции участков автодороги в Южно-Казахстанской области, включая объездную дорогу в Кызылорде.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3
</w:t>
      </w:r>
      <w:r>
        <w:rPr>
          <w:rFonts w:ascii="Times New Roman"/>
          <w:b w:val="false"/>
          <w:i w:val="false"/>
          <w:color w:val="000000"/>
          <w:sz w:val="28"/>
        </w:rPr>
        <w:t>
: 
</w:t>
      </w:r>
      <w:r>
        <w:rPr>
          <w:rFonts w:ascii="Times New Roman"/>
          <w:b w:val="false"/>
          <w:i w:val="false"/>
          <w:color w:val="000000"/>
          <w:sz w:val="28"/>
          <w:u w:val="single"/>
        </w:rPr>
        <w:t>
Консультанты по управлению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консалтинговых услуг для содействия МТК РК в реализации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4
</w:t>
      </w:r>
      <w:r>
        <w:rPr>
          <w:rFonts w:ascii="Times New Roman"/>
          <w:b w:val="false"/>
          <w:i w:val="false"/>
          <w:color w:val="000000"/>
          <w:sz w:val="28"/>
        </w:rPr>
        <w:t>
: 
</w:t>
      </w:r>
      <w:r>
        <w:rPr>
          <w:rFonts w:ascii="Times New Roman"/>
          <w:b w:val="false"/>
          <w:i w:val="false"/>
          <w:color w:val="000000"/>
          <w:sz w:val="28"/>
          <w:u w:val="single"/>
        </w:rPr>
        <w:t>
Институциональное развитие и повышение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безопасности дорожного движения и развитие придорожного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сервиса
</w:t>
      </w:r>
      <w:r>
        <w:rPr>
          <w:rFonts w:ascii="Times New Roman"/>
          <w:b w:val="false"/>
          <w:i w:val="false"/>
          <w:color w:val="000000"/>
          <w:sz w:val="28"/>
        </w:rPr>
        <w:t>
</w:t>
      </w:r>
    </w:p>
    <w:p>
      <w:pPr>
        <w:spacing w:after="0"/>
        <w:ind w:left="0"/>
        <w:jc w:val="both"/>
      </w:pPr>
      <w:r>
        <w:rPr>
          <w:rFonts w:ascii="Times New Roman"/>
          <w:b w:val="false"/>
          <w:i w:val="false"/>
          <w:color w:val="000000"/>
          <w:sz w:val="28"/>
        </w:rPr>
        <w:t>
      (а) Предоставление консультационных услуг для проведения исследований с целью: (i) обзора вариантов по усилению управления автомобильными дорогами и улучшения состояния автомобильных дорог; (ii) обучения сотрудников Комитета автомобильных дорог с целью усиления потенциала по управлению проектами; (iii) внедрения системы управления автомобильными дорогами; (iv) улучшения надзора за охраной окружающей среды; (v) подготовки руководства по учету безопасности дорожного движения при проектировании; (vi) проведения физического аудита безопасности сети дорог; (vii) создания методологий по определению наиболее опасных аварийных участков; (viii) оценки социальной стоимости аварий; (ix) укрепления потенциала институтов МТК в сфере проведения исследований в области ДТП; и (х) подготовки планов мероприятий по развитию придорожного сервиса вдоль участков дорог по Проекту.
</w:t>
      </w:r>
      <w:r>
        <w:br/>
      </w:r>
      <w:r>
        <w:rPr>
          <w:rFonts w:ascii="Times New Roman"/>
          <w:b w:val="false"/>
          <w:i w:val="false"/>
          <w:color w:val="000000"/>
          <w:sz w:val="28"/>
        </w:rPr>
        <w:t>
      (b) Предоставление товаров и оборудования для системы управления автомобильными дорогами.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5
</w:t>
      </w:r>
      <w:r>
        <w:rPr>
          <w:rFonts w:ascii="Times New Roman"/>
          <w:b w:val="false"/>
          <w:i w:val="false"/>
          <w:color w:val="000000"/>
          <w:sz w:val="28"/>
        </w:rPr>
        <w:t>
: Надзор за строительными работами
</w:t>
      </w:r>
    </w:p>
    <w:p>
      <w:pPr>
        <w:spacing w:after="0"/>
        <w:ind w:left="0"/>
        <w:jc w:val="both"/>
      </w:pPr>
      <w:r>
        <w:rPr>
          <w:rFonts w:ascii="Times New Roman"/>
          <w:b w:val="false"/>
          <w:i w:val="false"/>
          <w:color w:val="000000"/>
          <w:sz w:val="28"/>
        </w:rPr>
        <w:t>
      Предоставление консультационных услуг для проведения надзора за строительными работами по Части 1 и Части 2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I. Механизмы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реализует Проект в соответствии со следующими институциональными и другими механизмами:
</w:t>
      </w:r>
      <w:r>
        <w:br/>
      </w:r>
      <w:r>
        <w:rPr>
          <w:rFonts w:ascii="Times New Roman"/>
          <w:b w:val="false"/>
          <w:i w:val="false"/>
          <w:color w:val="000000"/>
          <w:sz w:val="28"/>
        </w:rPr>
        <w:t>
      1. Заемщик через Министерство транспорта и коммуникаций Республики Казахстан (далее - МТК РК)К с помощью КУП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РППК, Документе по политике переселения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РППК, Документа по политике переселения и ОВОС без предварительного согласия Банка.
</w:t>
      </w:r>
      <w:r>
        <w:br/>
      </w:r>
      <w:r>
        <w:rPr>
          <w:rFonts w:ascii="Times New Roman"/>
          <w:b w:val="false"/>
          <w:i w:val="false"/>
          <w:color w:val="000000"/>
          <w:sz w:val="28"/>
        </w:rPr>
        <w:t>
      2. Заемщик через МТК РК:
</w:t>
      </w:r>
      <w:r>
        <w:br/>
      </w:r>
      <w:r>
        <w:rPr>
          <w:rFonts w:ascii="Times New Roman"/>
          <w:b w:val="false"/>
          <w:i w:val="false"/>
          <w:color w:val="000000"/>
          <w:sz w:val="28"/>
        </w:rPr>
        <w:t>
      (a) осуществляет подготовку до начала каких-либо работ в рамках Проекта Планов мероприятий по переселению, удовлетворительные для Банка, в соответствии с Документом по политике переселения; и
</w:t>
      </w:r>
      <w:r>
        <w:br/>
      </w:r>
      <w:r>
        <w:rPr>
          <w:rFonts w:ascii="Times New Roman"/>
          <w:b w:val="false"/>
          <w:i w:val="false"/>
          <w:color w:val="000000"/>
          <w:sz w:val="28"/>
        </w:rPr>
        <w:t>
      (b) реализует Проект в соответствии с Планами мероприятий по переселению; и
</w:t>
      </w:r>
      <w:r>
        <w:br/>
      </w:r>
      <w:r>
        <w:rPr>
          <w:rFonts w:ascii="Times New Roman"/>
          <w:b w:val="false"/>
          <w:i w:val="false"/>
          <w:color w:val="000000"/>
          <w:sz w:val="28"/>
        </w:rPr>
        <w:t>
      (c) не может вносить изменения, отменять или отказываться от каких-либо положений соответствующих Планов мероприятий по переселению без предварительного согласия Банка.
</w:t>
      </w:r>
      <w:r>
        <w:br/>
      </w:r>
      <w:r>
        <w:rPr>
          <w:rFonts w:ascii="Times New Roman"/>
          <w:b w:val="false"/>
          <w:i w:val="false"/>
          <w:color w:val="000000"/>
          <w:sz w:val="28"/>
        </w:rPr>
        <w:t>
      3. Заемщик через МТК РК:
</w:t>
      </w:r>
      <w:r>
        <w:br/>
      </w:r>
      <w:r>
        <w:rPr>
          <w:rFonts w:ascii="Times New Roman"/>
          <w:b w:val="false"/>
          <w:i w:val="false"/>
          <w:color w:val="000000"/>
          <w:sz w:val="28"/>
        </w:rPr>
        <w:t>
      (a) подготавливает до начала каких-либо работ в рамках Проекта Планы природоохранных мероприятий, удовлетворительные для Банка, в соответствии с ОВОС; и
</w:t>
      </w:r>
      <w:r>
        <w:br/>
      </w:r>
      <w:r>
        <w:rPr>
          <w:rFonts w:ascii="Times New Roman"/>
          <w:b w:val="false"/>
          <w:i w:val="false"/>
          <w:color w:val="000000"/>
          <w:sz w:val="28"/>
        </w:rPr>
        <w:t>
      (b) реализует Проект в соответствии с соответствующими Планами природоохранных мероприятий; и
</w:t>
      </w:r>
      <w:r>
        <w:br/>
      </w:r>
      <w:r>
        <w:rPr>
          <w:rFonts w:ascii="Times New Roman"/>
          <w:b w:val="false"/>
          <w:i w:val="false"/>
          <w:color w:val="000000"/>
          <w:sz w:val="28"/>
        </w:rPr>
        <w:t>
      (c) не может вносить изменения, отменять или отказываться от каких-либо положений соответствующих Планов природоохранных мероприятий без предварительного согласия Банка.
</w:t>
      </w:r>
      <w:r>
        <w:br/>
      </w:r>
      <w:r>
        <w:rPr>
          <w:rFonts w:ascii="Times New Roman"/>
          <w:b w:val="false"/>
          <w:i w:val="false"/>
          <w:color w:val="000000"/>
          <w:sz w:val="28"/>
        </w:rPr>
        <w:t>
      4. В течение всего периода реализации Проекта Заемщик должен обеспечивать, чтобы КУП содержался в составе, с ресурсами и в соответствии с техническими заданиями, удовлетворительными для Банка.
</w:t>
      </w:r>
      <w:r>
        <w:br/>
      </w:r>
      <w:r>
        <w:rPr>
          <w:rFonts w:ascii="Times New Roman"/>
          <w:b w:val="false"/>
          <w:i w:val="false"/>
          <w:color w:val="000000"/>
          <w:sz w:val="28"/>
        </w:rPr>
        <w:t>
      5. Заемщик, через МТК, должен: (i) принять все необходимые меры, включая обеспечение доступа ко всей необходимой информации, относящейся к проекту, для содействия в проведении независимого аудита закупок; и (и) действовать без промедления, исходя из результатов и рекомендаций такого аудита в рамках Технического задания, приемлемого для Банка.
</w:t>
      </w:r>
    </w:p>
    <w:p>
      <w:pPr>
        <w:spacing w:after="0"/>
        <w:ind w:left="0"/>
        <w:jc w:val="both"/>
      </w:pPr>
      <w:r>
        <w:rPr>
          <w:rFonts w:ascii="Times New Roman"/>
          <w:b w:val="false"/>
          <w:i w:val="false"/>
          <w:color w:val="000000"/>
          <w:sz w:val="28"/>
        </w:rPr>
        <w:t>
</w:t>
      </w:r>
      <w:r>
        <w:rPr>
          <w:rFonts w:ascii="Times New Roman"/>
          <w:b/>
          <w:i w:val="false"/>
          <w:color w:val="000000"/>
          <w:sz w:val="28"/>
        </w:rPr>
        <w:t>
В. Противодействие коррупции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
</w:t>
      </w:r>
    </w:p>
    <w:p>
      <w:pPr>
        <w:spacing w:after="0"/>
        <w:ind w:left="0"/>
        <w:jc w:val="both"/>
      </w:pPr>
      <w:r>
        <w:rPr>
          <w:rFonts w:ascii="Times New Roman"/>
          <w:b w:val="false"/>
          <w:i w:val="false"/>
          <w:color w:val="000000"/>
          <w:sz w:val="28"/>
        </w:rPr>
        <w:t>
</w:t>
      </w:r>
      <w:r>
        <w:rPr>
          <w:rFonts w:ascii="Times New Roman"/>
          <w:b/>
          <w:i w:val="false"/>
          <w:color w:val="000000"/>
          <w:sz w:val="28"/>
        </w:rPr>
        <w:t>
Раздел II.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Отчетность по мониторингу и оценка Проекта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оценку хода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быть предоставлен Банку не позднее чем через 45 (сорок пять) дней после окончания периода, охватываемого данным отчетом.
</w:t>
      </w:r>
      <w:r>
        <w:br/>
      </w:r>
      <w:r>
        <w:rPr>
          <w:rFonts w:ascii="Times New Roman"/>
          <w:b w:val="false"/>
          <w:i w:val="false"/>
          <w:color w:val="000000"/>
          <w:sz w:val="28"/>
        </w:rPr>
        <w:t>
      2. Не позднее 31 декабря 2010 года и впоследствии ежегодно Заемщик через МТК РК проводит совместно с Банком ежегодный анализ достигнутого в реализации Проекта прогресса, (далее именуемый как ежегодный обзор). Ежегодный обзор, среди прочего, включает:
</w:t>
      </w:r>
      <w:r>
        <w:br/>
      </w:r>
      <w:r>
        <w:rPr>
          <w:rFonts w:ascii="Times New Roman"/>
          <w:b w:val="false"/>
          <w:i w:val="false"/>
          <w:color w:val="000000"/>
          <w:sz w:val="28"/>
        </w:rPr>
        <w:t>
      (a) прогресс в достижении целей Проекта; и
</w:t>
      </w:r>
      <w:r>
        <w:br/>
      </w:r>
      <w:r>
        <w:rPr>
          <w:rFonts w:ascii="Times New Roman"/>
          <w:b w:val="false"/>
          <w:i w:val="false"/>
          <w:color w:val="000000"/>
          <w:sz w:val="28"/>
        </w:rPr>
        <w:t>
      (b) общие результаты исполнения Проекта в соответствии с индикаторами результатов.
</w:t>
      </w:r>
      <w:r>
        <w:br/>
      </w:r>
      <w:r>
        <w:rPr>
          <w:rFonts w:ascii="Times New Roman"/>
          <w:b w:val="false"/>
          <w:i w:val="false"/>
          <w:color w:val="000000"/>
          <w:sz w:val="28"/>
        </w:rPr>
        <w:t>
      3. Не менее чем за 4 (четыре) недели до Ежегодного обзора Заемщик через МТК РК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В.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для положений Части А данного Раздела, Заемщик обязан подготовить и представить в Банк не позднее чем через 45 (сорок пять) дней после окончания каждого календарного квартала промежуточные не прошедшие аудиторскую проверку финансовые отчеты по Проекту за данный квартал, удовлетворительные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Раздел III.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положения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определенным методам, описанным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В.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Специфические методы закупок товаров и работ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Если иное не предусмотрено в пункте 2 ниже, закупка товаров и работ осуществляется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2. 
</w:t>
      </w:r>
      <w:r>
        <w:rPr>
          <w:rFonts w:ascii="Times New Roman"/>
          <w:b/>
          <w:i w:val="false"/>
          <w:color w:val="000000"/>
          <w:sz w:val="28"/>
        </w:rPr>
        <w:t>
Прочие методы закупок товаров и работ.
</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Национальные конкурсные торги, согласно дополнительным
</w:t>
            </w:r>
            <w:r>
              <w:br/>
            </w:r>
            <w:r>
              <w:rPr>
                <w:rFonts w:ascii="Times New Roman"/>
                <w:b w:val="false"/>
                <w:i w:val="false"/>
                <w:color w:val="000000"/>
                <w:sz w:val="20"/>
              </w:rPr>
              <w:t>
положениям, установленным в Дополнении к данному Приложению 2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Закупки в свободной торговле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Прямое заключение контрактов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С. Специфические методы закупок услуг консультантов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Если в параграфе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им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(b) Отбор при фиксированном бюджете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Отбор по наименьшей стоимости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Отбор на основе квалификации консультантов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 Закупки из одного источника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(f) Процедуры, установленные в параграфах 5.2 и 5.3 Руководства по
</w:t>
            </w:r>
            <w:r>
              <w:br/>
            </w:r>
            <w:r>
              <w:rPr>
                <w:rFonts w:ascii="Times New Roman"/>
                <w:b w:val="false"/>
                <w:i w:val="false"/>
                <w:color w:val="000000"/>
                <w:sz w:val="20"/>
              </w:rPr>
              <w:t>
консультантам для отбора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D.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Рассмотрение Банком решений по закупкам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p>
      <w:pPr>
        <w:spacing w:after="0"/>
        <w:ind w:left="0"/>
        <w:jc w:val="both"/>
      </w:pPr>
      <w:r>
        <w:rPr>
          <w:rFonts w:ascii="Times New Roman"/>
          <w:b w:val="false"/>
          <w:i w:val="false"/>
          <w:color w:val="000000"/>
          <w:sz w:val="28"/>
        </w:rPr>
        <w:t>
</w:t>
      </w:r>
      <w:r>
        <w:rPr>
          <w:rFonts w:ascii="Times New Roman"/>
          <w:b/>
          <w:i w:val="false"/>
          <w:color w:val="000000"/>
          <w:sz w:val="28"/>
        </w:rPr>
        <w:t>
Раздел IV.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в параграфе 2 ниже.
</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Займа (в долларовом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эквиваленте)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(включая налоги)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Работы по Части 1
</w:t>
            </w:r>
            <w:r>
              <w:br/>
            </w:r>
            <w:r>
              <w:rPr>
                <w:rFonts w:ascii="Times New Roman"/>
                <w:b w:val="false"/>
                <w:i w:val="false"/>
                <w:color w:val="000000"/>
                <w:sz w:val="20"/>
              </w:rPr>
              <w:t>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1 134 300 000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Работы по Части 2
</w:t>
            </w:r>
            <w:r>
              <w:br/>
            </w:r>
            <w:r>
              <w:rPr>
                <w:rFonts w:ascii="Times New Roman"/>
                <w:b w:val="false"/>
                <w:i w:val="false"/>
                <w:color w:val="000000"/>
                <w:sz w:val="20"/>
              </w:rPr>
              <w:t>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747 200 000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3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5 500 000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4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Услуги
</w:t>
            </w:r>
            <w:r>
              <w:br/>
            </w:r>
            <w:r>
              <w:rPr>
                <w:rFonts w:ascii="Times New Roman"/>
                <w:b w:val="false"/>
                <w:i w:val="false"/>
                <w:color w:val="000000"/>
                <w:sz w:val="20"/>
              </w:rPr>
              <w:t>
консультантов по Части
</w:t>
            </w:r>
            <w:r>
              <w:br/>
            </w:r>
            <w:r>
              <w:rPr>
                <w:rFonts w:ascii="Times New Roman"/>
                <w:b w:val="false"/>
                <w:i w:val="false"/>
                <w:color w:val="000000"/>
                <w:sz w:val="20"/>
              </w:rPr>
              <w:t>
5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46 800 000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Товары по Части 4
</w:t>
            </w:r>
            <w:r>
              <w:br/>
            </w:r>
            <w:r>
              <w:rPr>
                <w:rFonts w:ascii="Times New Roman"/>
                <w:b w:val="false"/>
                <w:i w:val="false"/>
                <w:color w:val="000000"/>
                <w:sz w:val="20"/>
              </w:rPr>
              <w:t>
Проекта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Нераспределенные
</w:t>
            </w:r>
            <w:r>
              <w:br/>
            </w:r>
            <w:r>
              <w:rPr>
                <w:rFonts w:ascii="Times New Roman"/>
                <w:b w:val="false"/>
                <w:i w:val="false"/>
                <w:color w:val="000000"/>
                <w:sz w:val="20"/>
              </w:rPr>
              <w:t>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188 200 000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СУММА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2 125 000 000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В.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
</w:t>
      </w:r>
      <w:r>
        <w:br/>
      </w:r>
      <w:r>
        <w:rPr>
          <w:rFonts w:ascii="Times New Roman"/>
          <w:b w:val="false"/>
          <w:i w:val="false"/>
          <w:color w:val="000000"/>
          <w:sz w:val="28"/>
        </w:rPr>
        <w:t>
      (a) со счета Займа до тех пор, пока Банку не будет выплачена в полном объеме сумма банковской комиссии; и
</w:t>
      </w:r>
      <w:r>
        <w:br/>
      </w:r>
      <w:r>
        <w:rPr>
          <w:rFonts w:ascii="Times New Roman"/>
          <w:b w:val="false"/>
          <w:i w:val="false"/>
          <w:color w:val="000000"/>
          <w:sz w:val="28"/>
        </w:rPr>
        <w:t>
      (b) для расходов Категории (2), до тех пор, пока Заемщик не проведет исследование, в котором рассматриваются варианты укрепления Комитета автомобильных дорог и улучшения общего состояния сети автодорог, и не согласует с Банком механизм для проведения мероприятий по укреплению Комитета автомобильных дорог и улучшению общего состояния сети автодорог республиканского значения с учетом результатов этого исследования; и
</w:t>
      </w:r>
      <w:r>
        <w:br/>
      </w:r>
      <w:r>
        <w:rPr>
          <w:rFonts w:ascii="Times New Roman"/>
          <w:b w:val="false"/>
          <w:i w:val="false"/>
          <w:color w:val="000000"/>
          <w:sz w:val="28"/>
        </w:rPr>
        <w:t>
      (b) по платежам, совершенным до даты настоящего Соглашения.
</w:t>
      </w:r>
    </w:p>
    <w:p>
      <w:pPr>
        <w:spacing w:after="0"/>
        <w:ind w:left="0"/>
        <w:jc w:val="both"/>
      </w:pPr>
      <w:r>
        <w:rPr>
          <w:rFonts w:ascii="Times New Roman"/>
          <w:b w:val="false"/>
          <w:i w:val="false"/>
          <w:color w:val="000000"/>
          <w:sz w:val="28"/>
        </w:rPr>
        <w:t>
      2. Дата закрытия - 31 декабря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товаров и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A.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самостоятельность, если они действуют на основе коммерческого права и не являются организациями, зависимыми от ведомства, заключающего контракт в качестве заказчика. Кроме того, к ним будут применяться те же требования в отношении заявок и гарантийного обеспечения, что и к другим участникам торгов.
</w:t>
      </w:r>
    </w:p>
    <w:p>
      <w:pPr>
        <w:spacing w:after="0"/>
        <w:ind w:left="0"/>
        <w:jc w:val="both"/>
      </w:pPr>
      <w:r>
        <w:rPr>
          <w:rFonts w:ascii="Times New Roman"/>
          <w:b w:val="false"/>
          <w:i w:val="false"/>
          <w:color w:val="000000"/>
          <w:sz w:val="28"/>
        </w:rPr>
        <w:t>
B.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и работ, приемлемый для Банка.
</w:t>
      </w:r>
    </w:p>
    <w:p>
      <w:pPr>
        <w:spacing w:after="0"/>
        <w:ind w:left="0"/>
        <w:jc w:val="both"/>
      </w:pPr>
      <w:r>
        <w:rPr>
          <w:rFonts w:ascii="Times New Roman"/>
          <w:b w:val="false"/>
          <w:i w:val="false"/>
          <w:color w:val="000000"/>
          <w:sz w:val="28"/>
        </w:rPr>
        <w:t>
C. 
</w:t>
      </w:r>
      <w:r>
        <w:rPr>
          <w:rFonts w:ascii="Times New Roman"/>
          <w:b w:val="false"/>
          <w:i w:val="false"/>
          <w:color w:val="000000"/>
          <w:sz w:val="28"/>
          <w:u w:val="single"/>
        </w:rPr>
        <w:t>
Вскрытие и оценка конкурсных заявок
</w:t>
      </w:r>
      <w:r>
        <w:rPr>
          <w:rFonts w:ascii="Times New Roman"/>
          <w:b w:val="false"/>
          <w:i w:val="false"/>
          <w:color w:val="000000"/>
          <w:sz w:val="28"/>
        </w:rPr>
        <w:t>
:
</w:t>
      </w:r>
    </w:p>
    <w:p>
      <w:pPr>
        <w:spacing w:after="0"/>
        <w:ind w:left="0"/>
        <w:jc w:val="both"/>
      </w:pPr>
      <w:r>
        <w:rPr>
          <w:rFonts w:ascii="Times New Roman"/>
          <w:b w:val="false"/>
          <w:i w:val="false"/>
          <w:color w:val="000000"/>
          <w:sz w:val="28"/>
        </w:rPr>
        <w:t>
      (a) вскрытие заявок производится публично, незамедлительно после наступления окончательного срока подачи конкурсных заявок;
</w:t>
      </w:r>
      <w:r>
        <w:br/>
      </w:r>
      <w:r>
        <w:rPr>
          <w:rFonts w:ascii="Times New Roman"/>
          <w:b w:val="false"/>
          <w:i w:val="false"/>
          <w:color w:val="000000"/>
          <w:sz w:val="28"/>
        </w:rPr>
        <w:t>
      (b) оценка конкурсных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(c) к отечественным поставщикам не должны применяться преференции;
</w:t>
      </w:r>
      <w:r>
        <w:br/>
      </w:r>
      <w:r>
        <w:rPr>
          <w:rFonts w:ascii="Times New Roman"/>
          <w:b w:val="false"/>
          <w:i w:val="false"/>
          <w:color w:val="000000"/>
          <w:sz w:val="28"/>
        </w:rPr>
        <w:t>
      (d) контракт должен присуждаться квалифицированному участнику торгов, представившему конкурсную заявку с наименьшей ценой и в основном соответствующую требованиям, при этом переговоры не проводятся.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Корректировка цены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длительный период (более 18 (восемнадцати) месяцев), должны содержать соответствующий пункт о корректировке цен. Контракты на строительные работы, не рассчитанные на длительный период (18 (восемнадцать) или менее месяцев) не требуют включения соответствующего пункта о корректировке цен.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Аннулирование результатов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конкурсных торгов несостоявшимся и приглашение к подаче новых конкурсных заявок может производиться только с предварительного согласия Банка.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Отклонение отдельных конкурсных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конкурсная заявка может быть отклонена только в следующих случаях:
</w:t>
      </w:r>
      <w:r>
        <w:br/>
      </w:r>
      <w:r>
        <w:rPr>
          <w:rFonts w:ascii="Times New Roman"/>
          <w:b w:val="false"/>
          <w:i w:val="false"/>
          <w:color w:val="000000"/>
          <w:sz w:val="28"/>
        </w:rPr>
        <w:t>
      (a) участник торгов не соответствует квалификационным требованиям;
</w:t>
      </w:r>
      <w:r>
        <w:br/>
      </w:r>
      <w:r>
        <w:rPr>
          <w:rFonts w:ascii="Times New Roman"/>
          <w:b w:val="false"/>
          <w:i w:val="false"/>
          <w:color w:val="000000"/>
          <w:sz w:val="28"/>
        </w:rPr>
        <w:t>
      (b) участник торгов не принимает исправления арифметической ошибки, содержащейся в его конкурсной заявке, сделанного Конкурсной комиссией организации, проводящей закупки; и
</w:t>
      </w:r>
      <w:r>
        <w:br/>
      </w:r>
      <w:r>
        <w:rPr>
          <w:rFonts w:ascii="Times New Roman"/>
          <w:b w:val="false"/>
          <w:i w:val="false"/>
          <w:color w:val="000000"/>
          <w:sz w:val="28"/>
        </w:rPr>
        <w:t>
      (c) участник торгов не отвечает требованиям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выплаты процентов на всю сумму Займа, подлежащих погашению на каждую Дату погашения основного долга ("Доля очередного платежа"):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очередного платежа на каждую Дату погашения основного долга, 
</w:t>
      </w:r>
      <w:r>
        <w:rPr>
          <w:rFonts w:ascii="Times New Roman"/>
          <w:b w:val="false"/>
          <w:i/>
          <w:color w:val="000000"/>
          <w:sz w:val="28"/>
        </w:rPr>
        <w:t>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Дата платежа по основному долгу
</w:t>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очередного платежа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процентном выражении)
</w:t>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мая и 15 ноября каждого года,
</w:t>
            </w:r>
            <w:r>
              <w:br/>
            </w:r>
            <w:r>
              <w:rPr>
                <w:rFonts w:ascii="Times New Roman"/>
                <w:b w:val="false"/>
                <w:i w:val="false"/>
                <w:color w:val="000000"/>
                <w:sz w:val="20"/>
              </w:rPr>
              <w:t>
начиная с 15 мая 2014 года по 15
</w:t>
            </w:r>
            <w:r>
              <w:br/>
            </w:r>
            <w:r>
              <w:rPr>
                <w:rFonts w:ascii="Times New Roman"/>
                <w:b w:val="false"/>
                <w:i w:val="false"/>
                <w:color w:val="000000"/>
                <w:sz w:val="20"/>
              </w:rPr>
              <w:t>
ноября 2033 года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параграфом 1 данного Приложения.
</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очередного платежа, указанная в таблице в параграфе 1 данного Приложения для этой Даты погашения основного долга ("Первоначальная сумма Доли очередного платежа"), а знаменателем которой является сумма всех оставшихся Первоначальных сумм Доли очередных платежей на Даты погашения основного долга на такую дату или после нее,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br/>
      </w:r>
      <w:r>
        <w:rPr>
          <w:rFonts w:ascii="Times New Roman"/>
          <w:b w:val="false"/>
          <w:i w:val="false"/>
          <w:color w:val="000000"/>
          <w:sz w:val="28"/>
        </w:rPr>
        <w:t>
      3.(a)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w:t>
      </w:r>
      <w:r>
        <w:br/>
      </w:r>
      <w:r>
        <w:rPr>
          <w:rFonts w:ascii="Times New Roman"/>
          <w:b w:val="false"/>
          <w:i w:val="false"/>
          <w:color w:val="000000"/>
          <w:sz w:val="28"/>
        </w:rPr>
        <w:t>
      (b) Несмотря на положения подпункта (а) данного параграфа,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4. Несмотря на положения параграфов 1 и 2 настоящего Приложения после Конвертации валюты всей или любой части снятой суммы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(г)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такое решение в соответствии с Руководством по конверсии.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I.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w:t>
      </w:r>
      <w:r>
        <w:br/>
      </w:r>
      <w:r>
        <w:rPr>
          <w:rFonts w:ascii="Times New Roman"/>
          <w:b w:val="false"/>
          <w:i w:val="false"/>
          <w:color w:val="000000"/>
          <w:sz w:val="28"/>
        </w:rPr>
        <w:t>
      2. "Категория" означает категорию, указанную в таблице Раздела IV Приложения 2 к настоящему Соглашению.
</w:t>
      </w:r>
      <w:r>
        <w:br/>
      </w:r>
      <w:r>
        <w:rPr>
          <w:rFonts w:ascii="Times New Roman"/>
          <w:b w:val="false"/>
          <w:i w:val="false"/>
          <w:color w:val="000000"/>
          <w:sz w:val="28"/>
        </w:rPr>
        <w:t>
      3. "Комитет автомобильных дорог" означает орган по управлению автомобильными дорогами, созданный в МТК 1-го января 2008 года Постановлением Правительства от 6-го декабря 2007 года № 1193 "О некоторых вопросах Министерства транспорта и коммуникаций Республики Казахстан", и отвечающий за республиканскую автодорожную сеть, и любого его правопреемника или правопреемников.
</w:t>
      </w:r>
      <w:r>
        <w:br/>
      </w: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w:t>
      </w:r>
      <w:r>
        <w:br/>
      </w:r>
      <w:r>
        <w:rPr>
          <w:rFonts w:ascii="Times New Roman"/>
          <w:b w:val="false"/>
          <w:i w:val="false"/>
          <w:color w:val="000000"/>
          <w:sz w:val="28"/>
        </w:rPr>
        <w:t>
      5. "Оценка воздействия на окружающую среду" или "ОВОС" означает заключительный отчет по оценке воздействия на окружающую среду, подготовленный и раскрытый Заемщиком на дату 26 февраля 2009 года и удовлетворительный для Банка, в который включается, среди прочего: (i) подробное описание объектов, где будут проводиться мероприятия Проекта, (ii) потенциальное и фактическое неблагоприятное экологическое воздействие мероприятий, указанных в параграфе (i) выше, и (iii) общий ППМ, в котором определяются меры к принятию в ходе реализации Проекта, направленные на снижение, устранение или компенсацию неблагоприятных экологических последствий Проекта.
</w:t>
      </w:r>
      <w:r>
        <w:br/>
      </w:r>
      <w:r>
        <w:rPr>
          <w:rFonts w:ascii="Times New Roman"/>
          <w:b w:val="false"/>
          <w:i w:val="false"/>
          <w:color w:val="000000"/>
          <w:sz w:val="28"/>
        </w:rPr>
        <w:t>
      6. "Планы природоохранных мероприятий" или "ППМ" означают документы на конкретные объекты, принятые Заемщиком и удовлетворительные для Банка в соответствии с ОВОС и в соответствии с Пунктом 3 Раздела IA Приложения 2 к данному Соглашению, в отношении работ, которые должны проводиться Заемщиком в рамках Проекта и определяющие в деталях меры по управлению потенциальными экологическими рисками, смягчению, снижению и/или компенсации негативного воздействия на окружающую среду, связанного с реализацией мероприятий Проекта, наряду с адекватными институциональными механизмами, механизмами мониторинга и отчетности, способными обеспечить должный уровень выполнения условий и поступления регулярной информации по их соблюдению с возможностью периодически вносить изменения и дополнения с предварительного письменного согласия Банка; и понятие "ППМ" относится к одному из этих документов.
</w:t>
      </w:r>
      <w:r>
        <w:br/>
      </w:r>
      <w:r>
        <w:rPr>
          <w:rFonts w:ascii="Times New Roman"/>
          <w:b w:val="false"/>
          <w:i w:val="false"/>
          <w:color w:val="000000"/>
          <w:sz w:val="28"/>
        </w:rPr>
        <w:t>
      7. "План мероприятий по РППК" означает План мероприятий по руководству проектом и противодействию коррупции, удовлетворительный для Банка и подлежащий принятию Заемщиком, через МТК, в соответствии с Разделом 4.01 (b) настоящего Соглашения, для усиления контроля за финансовым управлением и повышения прозрачности и законности процедур закупок, проводимых в рамках Проекта.
</w:t>
      </w:r>
      <w:r>
        <w:br/>
      </w:r>
      <w:r>
        <w:rPr>
          <w:rFonts w:ascii="Times New Roman"/>
          <w:b w:val="false"/>
          <w:i w:val="false"/>
          <w:color w:val="000000"/>
          <w:sz w:val="28"/>
        </w:rPr>
        <w:t>
      8. "Общие условия" означает "Общие условия для займов Международного банка реконструкции и развития" от 1 июля 2005 года (с поправками до 12 февраля 2008 года).
</w:t>
      </w:r>
      <w:r>
        <w:br/>
      </w:r>
      <w:r>
        <w:rPr>
          <w:rFonts w:ascii="Times New Roman"/>
          <w:b w:val="false"/>
          <w:i w:val="false"/>
          <w:color w:val="000000"/>
          <w:sz w:val="28"/>
        </w:rPr>
        <w:t>
      9. "МТК" означает Министерство транспорта и коммуникаций Заемщика или его правопреемника или правопреемников.
</w:t>
      </w:r>
      <w:r>
        <w:br/>
      </w:r>
      <w:r>
        <w:rPr>
          <w:rFonts w:ascii="Times New Roman"/>
          <w:b w:val="false"/>
          <w:i w:val="false"/>
          <w:color w:val="000000"/>
          <w:sz w:val="28"/>
        </w:rPr>
        <w:t>
      10. "КУП" - Консультант по управлению проектом, юридическое лицо, приемлемое для Банка и упомянутое в разделе 4.01 (а) настоящего Соглашения, привлеченное к оказанию консультационных услуг по оказанию поддержки МТК РК в управлении и реализации Проекта.
</w:t>
      </w:r>
      <w:r>
        <w:br/>
      </w:r>
      <w:r>
        <w:rPr>
          <w:rFonts w:ascii="Times New Roman"/>
          <w:b w:val="false"/>
          <w:i w:val="false"/>
          <w:color w:val="000000"/>
          <w:sz w:val="28"/>
        </w:rPr>
        <w:t>
      11. "Руководство по закупкам" означает "Руководство по закупкам в рамках законов и кредитов MAP", опубликованное Банком в мае 2004 года и пересмотренное в октябре 2006 года.
</w:t>
      </w:r>
      <w:r>
        <w:br/>
      </w:r>
      <w:r>
        <w:rPr>
          <w:rFonts w:ascii="Times New Roman"/>
          <w:b w:val="false"/>
          <w:i w:val="false"/>
          <w:color w:val="000000"/>
          <w:sz w:val="28"/>
        </w:rPr>
        <w:t>
      12. "План закупок" означает план закупок Заемщика для Проекта от 30 января 2009 г.,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
</w:t>
      </w:r>
      <w:r>
        <w:br/>
      </w:r>
      <w:r>
        <w:rPr>
          <w:rFonts w:ascii="Times New Roman"/>
          <w:b w:val="false"/>
          <w:i w:val="false"/>
          <w:color w:val="000000"/>
          <w:sz w:val="28"/>
        </w:rPr>
        <w:t>
      13. "Руководство по реализации проекта" означают руководство, принятое Заемщиком, через МТК, 17 марта 2009 года и удовлетворительное для Банка, определяющее операционные и административные обязанности, процедуры и правила реализации Проекта, включая руководство по финансовому управлению, соответствующие условиям настоящего Соглашения, национальному законодательству и указаниям Заемщика, в которое периодически могут вноситься изменения и дополнения с предварительного письменного согласия Банка.
</w:t>
      </w:r>
      <w:r>
        <w:br/>
      </w:r>
      <w:r>
        <w:rPr>
          <w:rFonts w:ascii="Times New Roman"/>
          <w:b w:val="false"/>
          <w:i w:val="false"/>
          <w:color w:val="000000"/>
          <w:sz w:val="28"/>
        </w:rPr>
        <w:t>
      14. "Планы мероприятий по переселению" означает специфичные по населенному пункту документы, включая любые Сокращенные Планы мероприятий по переселению, принятые Заемщиком и в соответствии с Пунктом 2 Раздела IA Приложения 2 к данному Соглашению, и удовлетворительные для Банка, которые содержат среди прочего программу мероприятий, мер и стратегии выплаты компенсации и переселения людей, включая механизмы компенсации и переселения, бюджет и смету затрат, а также источники финансирования вместе с адекватными институциональными механизмами, механизмами мониторинга и отчетности, способными обеспечить должный уровень выполнения условий и регулярную информацию по их выполнению для каждого отдельного участка; и "План мероприятий по переселению" означает один такой план.
</w:t>
      </w:r>
      <w:r>
        <w:br/>
      </w:r>
      <w:r>
        <w:rPr>
          <w:rFonts w:ascii="Times New Roman"/>
          <w:b w:val="false"/>
          <w:i w:val="false"/>
          <w:color w:val="000000"/>
          <w:sz w:val="28"/>
        </w:rPr>
        <w:t>
      15. "Документ по политике переселения" означает документ, подготовленный, утвержденный и опубликованный Заемщиком 1 мая 2008 года, скорректированный и опубликованный Заемщиком 18 марта 2009 года и опубликованный на сайте Infoshop 25 марта 2009 года, в котором определены процедуры переселения, институциональные механизмы, критерии правомочности, права и компенсации, включая процедуры оценки, общественные консультации и участие, критерии мониторинга, оценки и раскрытия информации, которые должны применяться при подготовке Плана мероприятий по переселению.
</w:t>
      </w:r>
    </w:p>
    <w:p>
      <w:pPr>
        <w:spacing w:after="0"/>
        <w:ind w:left="0"/>
        <w:jc w:val="both"/>
      </w:pPr>
      <w:r>
        <w:rPr>
          <w:rFonts w:ascii="Times New Roman"/>
          <w:b w:val="false"/>
          <w:i w:val="false"/>
          <w:color w:val="000000"/>
          <w:sz w:val="28"/>
        </w:rPr>
        <w:t>
</w:t>
      </w:r>
      <w:r>
        <w:rPr>
          <w:rFonts w:ascii="Times New Roman"/>
          <w:b/>
          <w:i w:val="false"/>
          <w:color w:val="000000"/>
          <w:sz w:val="28"/>
        </w:rPr>
        <w:t>
Раздел II. Изменения Общих условий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Общие условия были внесены следующие изменения:
</w:t>
      </w:r>
    </w:p>
    <w:p>
      <w:pPr>
        <w:spacing w:after="0"/>
        <w:ind w:left="0"/>
        <w:jc w:val="both"/>
      </w:pPr>
      <w:r>
        <w:rPr>
          <w:rFonts w:ascii="Times New Roman"/>
          <w:b w:val="false"/>
          <w:i w:val="false"/>
          <w:color w:val="000000"/>
          <w:sz w:val="28"/>
        </w:rPr>
        <w:t>
      1. Изложить Параграф (а) Раздела 2.07 в следующей редакции:
</w:t>
      </w:r>
    </w:p>
    <w:p>
      <w:pPr>
        <w:spacing w:after="0"/>
        <w:ind w:left="0"/>
        <w:jc w:val="both"/>
      </w:pPr>
      <w:r>
        <w:rPr>
          <w:rFonts w:ascii="Times New Roman"/>
          <w:b w:val="false"/>
          <w:i w:val="false"/>
          <w:color w:val="000000"/>
          <w:sz w:val="28"/>
        </w:rPr>
        <w:t>
      "Раздел 2.07. 
</w:t>
      </w:r>
      <w:r>
        <w:rPr>
          <w:rFonts w:ascii="Times New Roman"/>
          <w:b w:val="false"/>
          <w:i/>
          <w:color w:val="000000"/>
          <w:sz w:val="28"/>
        </w:rPr>
        <w:t>
Аванс для подготовки к рефинансированию; Капитализация комиссии за открытие займа и вознаграждения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из суммы аванса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
</w:t>
      </w:r>
    </w:p>
    <w:p>
      <w:pPr>
        <w:spacing w:after="0"/>
        <w:ind w:left="0"/>
        <w:jc w:val="both"/>
      </w:pPr>
      <w:r>
        <w:rPr>
          <w:rFonts w:ascii="Times New Roman"/>
          <w:b w:val="false"/>
          <w:i w:val="false"/>
          <w:color w:val="000000"/>
          <w:sz w:val="28"/>
        </w:rPr>
        <w:t>
      2. Изложить Параграф (1) Раздела 7.02 в следующей редакции:
</w:t>
      </w:r>
    </w:p>
    <w:p>
      <w:pPr>
        <w:spacing w:after="0"/>
        <w:ind w:left="0"/>
        <w:jc w:val="both"/>
      </w:pPr>
      <w:r>
        <w:rPr>
          <w:rFonts w:ascii="Times New Roman"/>
          <w:b w:val="false"/>
          <w:i w:val="false"/>
          <w:color w:val="000000"/>
          <w:sz w:val="28"/>
        </w:rPr>
        <w:t>
      "Раздел 7.02. 
</w:t>
      </w:r>
      <w:r>
        <w:rPr>
          <w:rFonts w:ascii="Times New Roman"/>
          <w:b w:val="false"/>
          <w:i/>
          <w:color w:val="000000"/>
          <w:sz w:val="28"/>
        </w:rPr>
        <w:t>
Приостановка Соглашения Банком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color w:val="000000"/>
          <w:sz w:val="28"/>
        </w:rPr>
        <w:t>
Несоответствие предъявляемым требованиям
</w:t>
      </w:r>
      <w:r>
        <w:rPr>
          <w:rFonts w:ascii="Times New Roman"/>
          <w:b w:val="false"/>
          <w:i w:val="false"/>
          <w:color w:val="000000"/>
          <w:sz w:val="28"/>
        </w:rPr>
        <w:t>
. Банк или Ассоциация объявили Заемщика (кроме Государства-члена) или исполнительное агентство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определения Банком или Ассоциацией того, что Заемщик или исполнительное агентство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w:t>
      </w:r>
    </w:p>
    <w:p>
      <w:pPr>
        <w:spacing w:after="0"/>
        <w:ind w:left="0"/>
        <w:jc w:val="both"/>
      </w:pPr>
      <w:r>
        <w:rPr>
          <w:rFonts w:ascii="Times New Roman"/>
          <w:b w:val="false"/>
          <w:i w:val="false"/>
          <w:color w:val="000000"/>
          <w:sz w:val="28"/>
        </w:rPr>
        <w:t>
      3. (a) Определение термина "Даты конверсии" изложить в следующей редакции:
</w:t>
      </w:r>
    </w:p>
    <w:p>
      <w:pPr>
        <w:spacing w:after="0"/>
        <w:ind w:left="0"/>
        <w:jc w:val="both"/>
      </w:pPr>
      <w:r>
        <w:rPr>
          <w:rFonts w:ascii="Times New Roman"/>
          <w:b w:val="false"/>
          <w:i w:val="false"/>
          <w:color w:val="000000"/>
          <w:sz w:val="28"/>
        </w:rPr>
        <w:t>
      "Дата конверсии" означает в отношении конверсии дату исполнения (по определению в настоящем документе) или иную такую дату, запрашиваемую Заемщиком, и приемлемую для Банка, с момента которой конверсия вступает в силу и в отношении которой и дальнейшем действуют положения Руководства по конверсии."
</w:t>
      </w:r>
      <w:r>
        <w:br/>
      </w:r>
      <w:r>
        <w:rPr>
          <w:rFonts w:ascii="Times New Roman"/>
          <w:b w:val="false"/>
          <w:i w:val="false"/>
          <w:color w:val="000000"/>
          <w:sz w:val="28"/>
        </w:rPr>
        <w:t>
      (b) Определение термина "плавающая ставка" изложить в следующей редакции:
</w:t>
      </w:r>
      <w:r>
        <w:br/>
      </w:r>
      <w:r>
        <w:rPr>
          <w:rFonts w:ascii="Times New Roman"/>
          <w:b w:val="false"/>
          <w:i w:val="false"/>
          <w:color w:val="000000"/>
          <w:sz w:val="28"/>
        </w:rPr>
        <w:t>
      "(с) при конверсии валюты в Одобренную валюту в размере остатка суммы Займа после снятия, на которую начисляются проценты рассчитываемые по плавающей ставке в период конверсии плавающая процентная ставка, применимая к таким суммам, равняется либо: (i) сумме: (A) LIBOR, 
</w:t>
      </w:r>
      <w:r>
        <w:rPr>
          <w:rFonts w:ascii="Times New Roman"/>
          <w:b w:val="false"/>
          <w:i w:val="false"/>
          <w:color w:val="000000"/>
          <w:sz w:val="28"/>
          <w:u w:val="single"/>
        </w:rPr>
        <w:t>
или любой другой базовой ставки, которая может быть согласована между Заемщиком и Банком
</w:t>
      </w:r>
      <w:r>
        <w:rPr>
          <w:rFonts w:ascii="Times New Roman"/>
          <w:b w:val="false"/>
          <w:i w:val="false"/>
          <w:color w:val="000000"/>
          <w:sz w:val="28"/>
        </w:rPr>
        <w:t>
 относительно Одобренной валюты; плюс (В) спред на LIBOR 
</w:t>
      </w:r>
      <w:r>
        <w:rPr>
          <w:rFonts w:ascii="Times New Roman"/>
          <w:b w:val="false"/>
          <w:i w:val="false"/>
          <w:color w:val="000000"/>
          <w:sz w:val="28"/>
          <w:u w:val="single"/>
        </w:rPr>
        <w:t>
или любую другую базовую ставку
</w:t>
      </w:r>
      <w:r>
        <w:rPr>
          <w:rFonts w:ascii="Times New Roman"/>
          <w:b w:val="false"/>
          <w:i w:val="false"/>
          <w:color w:val="000000"/>
          <w:sz w:val="28"/>
        </w:rPr>
        <w:t>
, при наличии таковой, подлежащий уплате Банком в рамках Валютных хеджевых сделок, относящихся к вышеупомянутой конверсии валюты,; либо (ii) валютному компоненту Экранной ставки, если Банк примет такое решение в соответствии с Руководством по Конверсии.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