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54bd" w14:textId="8f75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на наркотические средства, психотропные вещества и прекурсоры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2009 года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расчет
</w:t>
      </w:r>
      <w:r>
        <w:rPr>
          <w:rFonts w:ascii="Times New Roman"/>
          <w:b w:val="false"/>
          <w:i w:val="false"/>
          <w:color w:val="000000"/>
          <w:sz w:val="28"/>
        </w:rPr>
        <w:t>
 потребности наркотических средств для юридических лиц на 2009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расчет
</w:t>
      </w:r>
      <w:r>
        <w:rPr>
          <w:rFonts w:ascii="Times New Roman"/>
          <w:b w:val="false"/>
          <w:i w:val="false"/>
          <w:color w:val="000000"/>
          <w:sz w:val="28"/>
        </w:rPr>
        <w:t>
 потребности психотропных веществ для юридических лиц на 2009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расчет
</w:t>
      </w:r>
      <w:r>
        <w:rPr>
          <w:rFonts w:ascii="Times New Roman"/>
          <w:b w:val="false"/>
          <w:i w:val="false"/>
          <w:color w:val="000000"/>
          <w:sz w:val="28"/>
        </w:rPr>
        <w:t>
 потребности прекурсоров для юридических лиц на 2009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594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Расчет потребности наркотических средств для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13"/>
        <w:gridCol w:w="2273"/>
        <w:gridCol w:w="3273"/>
        <w:gridCol w:w="3013"/>
        <w:gridCol w:w="183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1938809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1939731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10006,5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Тримепердин**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Фентанил***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произведенное лекарственное средство пойдет на удовлетворение внутренних медицинских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80 % внутренних потребностей в наркотическом средстве будут удовлетворены за счет произведенных лекарственных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594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психотропных веществ для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13"/>
        <w:gridCol w:w="2253"/>
        <w:gridCol w:w="2173"/>
        <w:gridCol w:w="2773"/>
        <w:gridCol w:w="24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оксимаслянная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83178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5470883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594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прекурсоров для юридических лиц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351"/>
        <w:gridCol w:w="1943"/>
        <w:gridCol w:w="2084"/>
        <w:gridCol w:w="2950"/>
        <w:gridCol w:w="2528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87,993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4,135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37555,922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37648,05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2248,577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9057019,723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9059336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213,438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111,11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858443,452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858768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1697,268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1516649592,342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1516651367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1809,75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46378224,19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46380074,18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942,646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857651,812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858609,928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583,23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289132,57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289715,8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8,7176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788,9974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797,715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