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2e72" w14:textId="2382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18 июля 2007 года № 606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2009 года № 517. Утратило силу постановлением Правительства Республики Казахстан от 17 июня 2010 года N 607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17.06.2010 </w:t>
      </w:r>
      <w:r>
        <w:rPr>
          <w:rFonts w:ascii="Times New Roman"/>
          <w:b w:val="false"/>
          <w:i w:val="false"/>
          <w:color w:val="ff0000"/>
          <w:sz w:val="28"/>
        </w:rPr>
        <w:t>N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июля 2007 года № 606 "Об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 следующее изменение: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квалификационных требованиях </w:t>
      </w:r>
      <w:r>
        <w:rPr>
          <w:rFonts w:ascii="Times New Roman"/>
          <w:b w:val="false"/>
          <w:i w:val="false"/>
          <w:color w:val="000000"/>
          <w:sz w:val="28"/>
        </w:rPr>
        <w:t xml:space="preserve">, предъявляемых при лицензировании деятельности по организации строительства жилых зданий за счет привлечения денег дольщиков,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подпункт 1) пункта 2 изложить в следующей редакции: </w:t>
      </w:r>
      <w:r>
        <w:br/>
      </w:r>
      <w:r>
        <w:rPr>
          <w:rFonts w:ascii="Times New Roman"/>
          <w:b w:val="false"/>
          <w:i w:val="false"/>
          <w:color w:val="000000"/>
          <w:sz w:val="28"/>
        </w:rPr>
        <w:t xml:space="preserve">
      "1) отсутствие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налоговым законодательством Республики Казахстан), подтверждаемое оригиналом справки установленной формы соответствующего налогового органа, полученной не позднее одного месяца, предыдущего дате подачи заявки на получение лицензии по организации строительства жилых зданий за счет привлечения денег дольщиков, за подписью руководителя либо заместителя руководителя налогового органа;".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