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bf34" w14:textId="126b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"водного фонда" дополнить словами ", водоснабжения и водоотведения";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подпунктами 155), 156), 157), 158), 159), 160), 161) и 162)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"155) утверждает критерии безопасности водохозяйственных систем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156) разрабатывает правила пользования системами водоснабжения и водоотведения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разрабатывает правила приема сточных вод в системы водоотведения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158) утверждает правила технической эксплуатации систем водоснабжения и водоотведения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159) разрабатывает отраслевые (секторальные) и региональные программы по гидромелиорации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160) определяет направления развития гидромелиорации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161) устанавливает порядок проведения паспортизации гидромелиоративных систем и водохозяйственных сооружений, а также форму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162) осуществляет методическое обеспечение деятельности водохозяйственных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подпунктом 235)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"235) реализацию отраслевых (секторальных) и региональных  программ по гидромелиорации земель.";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2003 года № 1265 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особо важных групповых и локальных систем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являющихся безальтернативными источниками водоснабжения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