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8fd7" w14:textId="60e8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2009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дополнения и изменения,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2009 года № 13 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 и изменения,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некоторые решения Правительства Республики Казахстан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 силу постановлением Правительства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1063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2007 года № 1398 "Об утверждении Технического регламента "Требования к безопасности лакокрасочных материалов и растворителей" (САПП Республики Казахстан, 2007 г., № 51, ст. 646):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Техническом 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"Требования к безопасности лакокрасочных материалов и растворителей", утвержденном указанным постановлением: </w:t>
      </w:r>
    </w:p>
    <w:bookmarkEnd w:id="5"/>
    <w:bookmarkStart w:name="z9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21, 69, 75, 76, 77 и 78 исключить; </w:t>
      </w:r>
    </w:p>
    <w:bookmarkEnd w:id="6"/>
    <w:bookmarkStart w:name="z9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74 слово "должна" исключить.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13.08.2021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его дня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30.07.2012 </w:t>
      </w:r>
      <w:r>
        <w:rPr>
          <w:rFonts w:ascii="Times New Roman"/>
          <w:b w:val="false"/>
          <w:i w:val="false"/>
          <w:color w:val="000000"/>
          <w:sz w:val="28"/>
        </w:rPr>
        <w:t>№ 1004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01.07.2012).</w:t>
      </w:r>
    </w:p>
    <w:bookmarkEnd w:id="8"/>
    <w:bookmarkStart w:name="z8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марта 2008 года № 217 "Об утверждении Технического регламента "Требования к безопасности синтетических моющих средств и товаров бытовой химии" (САПП Республики Казахстан, 2008 г., № 12-13, ст. 119): </w:t>
      </w:r>
    </w:p>
    <w:bookmarkEnd w:id="9"/>
    <w:bookmarkStart w:name="z8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Техническом регламенте </w:t>
      </w:r>
      <w:r>
        <w:rPr>
          <w:rFonts w:ascii="Times New Roman"/>
          <w:b w:val="false"/>
          <w:i w:val="false"/>
          <w:color w:val="000000"/>
          <w:sz w:val="28"/>
        </w:rPr>
        <w:t xml:space="preserve">"Требования к безопасности синтетических моющих средств и товаров бытовой химии", утвержденном указанным постановлением: </w:t>
      </w:r>
    </w:p>
    <w:bookmarkEnd w:id="10"/>
    <w:bookmarkStart w:name="z8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41 слова "(в сочетании с пиктограммой)" исключить.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30.01.2017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