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9afc" w14:textId="2d99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действия инвестиционных налоговых префер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января 2003 года "Об инвестиц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роки действия инвестиционных налоговых преференций, предоставляемых для следующих юридических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ционерному обществу "АрселорМиттал Темиртау" по инвестиционному проекту "Проект акционерного общества "АрселорМиттал Темиртау" по увеличению производства металлопродукции до 6 млн. тонн стали в год (2013-2014 гг.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рпоративному подоходному налогу - 10 (десять) лет с 1 января года, следующего за годом ввода в эксплуатацию фиксирова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логу на имущество - 5 (пять) лет с 1 января года, следующего за годом ввода в эксплуатацию фиксирова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емельному налогу - 5 (пять) лет с 1 января года, следующего за годом ввода в эксплуатацию фиксирова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овариществу с ограниченной ответственностью "Металлургический завод" по инвестиционному проекту "Строительство металлургического завода с полным циклом мощностью 4 млн. тонн жидкой стали в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рпоративному подоходному налогу - 10 (десять) календарных лет с момента ввода в эксплуатацию фиксирова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логу на имущество - 5 (пять) лет с момента ввода в эксплуатацию фиксированных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