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6aff" w14:textId="1ba6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сроки действия инвестиционных налоговых преференций, предоставляемых товариществу с ограниченной ответственностью "СП КГМ" по инвестиционному проекту "Строительство предприятия по производству феррохрома в Хромтауском районе Актюбинской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корпоративному подоходному налогу - 10 (десять)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налогу на имущество - 5 (пять)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земельному налогу - 5 (пять) лет с момента ввода в эксплуатацию фиксированных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