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59fe" w14:textId="4365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величины процентной ставки комиссионного вознаграждения на осуществление деятельности акционерного общества "Государственный фонд социального страхования" и механизма ее использования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2008 года № 1249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25 апреля 2003 года "Об обязательном социальном страховании"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на 2009 год предельную величину процентной ставки комиссионного вознаграждения на осуществление деятельности акционерного общества "Государственный фонд социального страхования" (далее - Фонд) не более 0,49 процента от размера активов, поступивших на счет Фонда за отчетный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Сумма комиссионного вознаграждения за отчетный месяц, рассчитанная в соответствии с пунктом 1 настоящего постановления, подлежит перечислению на текущий счет Фонда в первые пять рабочих дней месяца, следующего за отчетным.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Сумма комиссионного вознаграждения, поступившая на счет Фонда, подлежит использованию в пределах расходов, утверждаемых органом управления Фонда на обеспечение деятельности Фонда на 2009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 1 января 2009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