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dae8" w14:textId="f6ed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оборота генетически модифицированных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2008 года N 630.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июля 2007 года "О безопасности пищевой продукции"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оборота генетически модифицированных объектов.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июня 2008 года N 630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оборота</w:t>
      </w:r>
      <w:r>
        <w:br/>
      </w:r>
      <w:r>
        <w:rPr>
          <w:rFonts w:ascii="Times New Roman"/>
          <w:b/>
          <w:i w:val="false"/>
          <w:color w:val="000000"/>
        </w:rPr>
        <w:t>генетически модифицированных объектов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оборота генетически модифицированных объектов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пищевой продукции" и определяют порядок оборота генетически модифицированных объектов на территории Республики Казахстан (далее - Правила).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под оборотом генетически модифицированных объектов понимаются процессы (стадии) реализации (продажи или поставки), включая ввоз (импорт) генетически модифицированных объектов, также связанные с ними процессы расфасовки, упаковки, маркировки, хранения и транспортировки.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Оборот генетически модифицированных объектов допускается только после научно обоснованного подтверждения их безопасности, которое осуществляется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проведения их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обороте генетически модифицированных объектов (далее - ГМО) должны соблюдаться требования,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в области безопасности пищевых продуктов и 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Ввоз (импорт) и реализация на территории Республики Казахстан ГМО разрешаются только после их государственной регистрации, за исключением случаев ввоза (импорта) образцов, необходимых для проведения регистрационных испытаний.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о государственной регистрации ГМО, выдаваемый в порядке, установленном законодательством Республики Казахстан, при ввозе (импорте) предъявляется должностным лицам, осуществляющим государственный санитарно-эпидемиологический надзор в пунктах пропуска через Государственную границу Республики Казахстан.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Способы расфасовки и упаковки, а также упаковочные материалы, используемые при обороте ГМО должны обеспечивать их безопасность,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безопасности пищевой продукции.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Транспортные средства, используемые при обороте ГМО, должны иметь санитарный паспорт, оформленный в порядке, установленном законодательством Республики Казахстан.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 документах, памятках (листах-вкладышах), этикетках, контрэтикетках, кольеретках, ярлыках, наклейках (стикерах), кроме информации, определенной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безопасности пищевой продукции, на государственном и русском языках указываются сведения о наличии и количестве ГМО в пищевом продукте.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Реализация ГМО осуществляется через объекты внутренней торговли, соответствующие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безопасности пищевой продукции.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