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7f66" w14:textId="8987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коммерциализации технологий)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22 мая 2008 года N 493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коммерциализации технологий)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(Проект коммерциализации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технологий) между Республикой Казахстан и Международным Банком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коммерциализации технологий) между Республикой Казахстан и Международным Банком Реконструкции и Развития, подписанное 2 февраля 2008 года в Астане.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48840-KZ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коммерциализации технологий)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Дата 2 февраля 2008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48840-KZ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2 февраля 2008 г. между РЕСПУБЛИКОЙ КАЗАХСТАН (Заемщик) и МЕЖДУНАРОДНЫМ БАНКОМ РЕКОНСТРУКЦИИ И РАЗВИТИЯ (Банк). Настоящим Заемщик и Банк соглашаются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данном Соглашении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тринадцати миллионам четыреста тысячам долларов США (13 400 000 долларов США)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2.03. Заемщик уплачивает Банку комиссию за открытие займа, равную четверти одного процента (0,25 %) от суммы Займа. Заемщик выплачивает комиссию за открытие займа не позднее 60 дней после даты вступления в силу.
</w:t>
      </w:r>
      <w:r>
        <w:br/>
      </w:r>
      <w:r>
        <w:rPr>
          <w:rFonts w:ascii="Times New Roman"/>
          <w:b w:val="false"/>
          <w:i w:val="false"/>
          <w:color w:val="000000"/>
          <w:sz w:val="28"/>
        </w:rPr>
        <w:t>
      2.04. Заемщик уплачивает вознаграждение по ставке, равной Базовой ставке ЛИБОР для Валюты Займа плюс переменный спред на каждый период начисления процента. Несмотря на вышесказанное, в случае если любая из частей снятого непогашенного остатка Займа остается неуплаченной своевременно, и не уплачивается в течении тридцати (30) дней, размер вознаграждения, уплачиваемого Заемщиком должен быть рассчитан как приведено в Разделе 3.02 (d) Общих условий.
</w:t>
      </w:r>
      <w:r>
        <w:br/>
      </w:r>
      <w:r>
        <w:rPr>
          <w:rFonts w:ascii="Times New Roman"/>
          <w:b w:val="false"/>
          <w:i w:val="false"/>
          <w:color w:val="000000"/>
          <w:sz w:val="28"/>
        </w:rPr>
        <w:t>
      2.05. Даты Платежей - 15 января и 15 июля каждого года.
</w:t>
      </w:r>
      <w:r>
        <w:br/>
      </w:r>
      <w:r>
        <w:rPr>
          <w:rFonts w:ascii="Times New Roman"/>
          <w:b w:val="false"/>
          <w:i w:val="false"/>
          <w:color w:val="000000"/>
          <w:sz w:val="28"/>
        </w:rPr>
        <w:t>
      2.06. Основная сумма Займа будет погашаться в соответствии с графиком погашения, приведенным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С этой целью Заемщик осуществляет Проект через МОН в соответствии с положениями Статьи V Общих условий.
</w:t>
      </w:r>
      <w:r>
        <w:br/>
      </w:r>
      <w:r>
        <w:rPr>
          <w:rFonts w:ascii="Times New Roman"/>
          <w:b w:val="false"/>
          <w:i w:val="false"/>
          <w:color w:val="000000"/>
          <w:sz w:val="28"/>
        </w:rPr>
        <w:t>
      3.02. Если положениями Раздела 3.01 настоящего Соглашения не предусмотрено иное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ВСТУПЛЕНИЕ В СИЛУ; РАСТОРЖЕНИЕ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Конечной датой вступления настоящего Соглашения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ПРЕДСТАВИТЕЛИ;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Представителем Заемщика является Министр финансов.
</w:t>
      </w:r>
      <w:r>
        <w:br/>
      </w:r>
      <w:r>
        <w:rPr>
          <w:rFonts w:ascii="Times New Roman"/>
          <w:b w:val="false"/>
          <w:i w:val="false"/>
          <w:color w:val="000000"/>
          <w:sz w:val="28"/>
        </w:rPr>
        <w:t>
      5.02. Адрес Заемщика:
</w:t>
      </w:r>
      <w:r>
        <w:br/>
      </w: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r>
        <w:br/>
      </w:r>
      <w:r>
        <w:rPr>
          <w:rFonts w:ascii="Times New Roman"/>
          <w:b w:val="false"/>
          <w:i w:val="false"/>
          <w:color w:val="000000"/>
          <w:sz w:val="28"/>
        </w:rPr>
        <w:t>
                                  Телекс:         Факс:
</w:t>
      </w:r>
      <w:r>
        <w:br/>
      </w:r>
      <w:r>
        <w:rPr>
          <w:rFonts w:ascii="Times New Roman"/>
          <w:b w:val="false"/>
          <w:i w:val="false"/>
          <w:color w:val="000000"/>
          <w:sz w:val="28"/>
        </w:rPr>
        <w:t>
                                  265126 (FILIN) (7) (3172) 717785
</w:t>
      </w:r>
      <w:r>
        <w:br/>
      </w:r>
      <w:r>
        <w:rPr>
          <w:rFonts w:ascii="Times New Roman"/>
          <w:b w:val="false"/>
          <w:i w:val="false"/>
          <w:color w:val="000000"/>
          <w:sz w:val="28"/>
        </w:rPr>
        <w:t>
      5.03. Адрес Банка:
</w:t>
      </w:r>
      <w:r>
        <w:br/>
      </w: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248423(MCI) или 1-202-477-6391
</w:t>
      </w:r>
      <w:r>
        <w:br/>
      </w:r>
      <w:r>
        <w:rPr>
          <w:rFonts w:ascii="Times New Roman"/>
          <w:b w:val="false"/>
          <w:i w:val="false"/>
          <w:color w:val="000000"/>
          <w:sz w:val="28"/>
        </w:rPr>
        <w:t>
            Washington, D.C.       64145(MCI)
</w:t>
      </w:r>
    </w:p>
    <w:p>
      <w:pPr>
        <w:spacing w:after="0"/>
        <w:ind w:left="0"/>
        <w:jc w:val="both"/>
      </w:pPr>
      <w:r>
        <w:rPr>
          <w:rFonts w:ascii="Times New Roman"/>
          <w:b w:val="false"/>
          <w:i w:val="false"/>
          <w:color w:val="000000"/>
          <w:sz w:val="28"/>
        </w:rPr>
        <w:t>
      СОГЛАСОВАНО в городе Астана Республики Казахстан, в день и год, указанные выше.
</w:t>
      </w:r>
    </w:p>
    <w:p>
      <w:pPr>
        <w:spacing w:after="0"/>
        <w:ind w:left="0"/>
        <w:jc w:val="both"/>
      </w:pPr>
      <w:r>
        <w:rPr>
          <w:rFonts w:ascii="Times New Roman"/>
          <w:b w:val="false"/>
          <w:i w:val="false"/>
          <w:color w:val="000000"/>
          <w:sz w:val="28"/>
        </w:rPr>
        <w:t>
                                           ЗА РЕСПУБЛИКУ КАЗАХСТАН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ЗА МЕЖДУНАРОДНЫЙ БАНК
</w:t>
      </w:r>
      <w:r>
        <w:br/>
      </w:r>
      <w:r>
        <w:rPr>
          <w:rFonts w:ascii="Times New Roman"/>
          <w:b w:val="false"/>
          <w:i w:val="false"/>
          <w:color w:val="000000"/>
          <w:sz w:val="28"/>
        </w:rPr>
        <w:t>
                                           РЕКОНСТРУКЦИИ И РАЗВИТИЯ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 заключается в том, чтобы продемонстрировать значительно улучшенную научную эффективность и коммерческую обоснованность научных исследований, проводимых группами специалистов разных дисциплин, которые проходят прозрачный конкурентный отбор.
</w:t>
      </w:r>
    </w:p>
    <w:p>
      <w:pPr>
        <w:spacing w:after="0"/>
        <w:ind w:left="0"/>
        <w:jc w:val="both"/>
      </w:pP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1
</w:t>
      </w:r>
      <w:r>
        <w:rPr>
          <w:rFonts w:ascii="Times New Roman"/>
          <w:b w:val="false"/>
          <w:i w:val="false"/>
          <w:color w:val="000000"/>
          <w:sz w:val="28"/>
        </w:rPr>
        <w:t>
: 
</w:t>
      </w:r>
      <w:r>
        <w:rPr>
          <w:rFonts w:ascii="Times New Roman"/>
          <w:b w:val="false"/>
          <w:i w:val="false"/>
          <w:color w:val="000000"/>
          <w:sz w:val="28"/>
          <w:u w:val="single"/>
        </w:rPr>
        <w:t>
Укрепление научной основы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и содействие в развитии ведущих ученых и молодых талантливых исследователей, чтобы проводить научные исследования и разработки согласно международным стандартам посредством: (а) создания Международного совета науки и коммерциализации и научного журнала, рецензируемого на международном уровне; (b) программы-гранты для группы старших научных сотрудников (ГСНС) и программы-гранты для группы младших научных сотрудников (ГМНС); и (с) создания Международного центра материаловедения (МЦМ).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2
</w:t>
      </w:r>
      <w:r>
        <w:rPr>
          <w:rFonts w:ascii="Times New Roman"/>
          <w:b w:val="false"/>
          <w:i w:val="false"/>
          <w:color w:val="000000"/>
          <w:sz w:val="28"/>
        </w:rPr>
        <w:t>
: 
</w:t>
      </w:r>
      <w:r>
        <w:rPr>
          <w:rFonts w:ascii="Times New Roman"/>
          <w:b w:val="false"/>
          <w:i w:val="false"/>
          <w:color w:val="000000"/>
          <w:sz w:val="28"/>
          <w:u w:val="single"/>
        </w:rPr>
        <w:t>
Обеспечение связи науки с рынками
</w:t>
      </w: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 технического содействия в развитии экспертизы, необходимой для того, чтобы более тесно привязать науку к внутренним и мировым рынкам посредством: (а) создания Офиса коммерциализации технологий (ОКТ) для оказания ряда услуг по коммерциализации технологий, включая разработку стратегии технологической коммерциализации и разработку целевых программ обучения на иностранных языках, бизнес-планирование и взаимодействие; (b) проведения технологического аудита, чтобы информировать разработчиков стратегий и ученых об инновационных активах и чтобы сформировать экспертную базу данных для маркетинга технологий; (с) анализа правовых и нормативных положений, структур и стимулов, относящихся к коммерциализации технологий, индустриальной инновации, венчурному капиталу и финансированию, и интеллектуальной собственности; а также (d) проведения оценки рынка для разработки и администрирования ряда программ-грантов, финансируемых Заемщиком.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3
</w:t>
      </w:r>
      <w:r>
        <w:rPr>
          <w:rFonts w:ascii="Times New Roman"/>
          <w:b w:val="false"/>
          <w:i w:val="false"/>
          <w:color w:val="000000"/>
          <w:sz w:val="28"/>
        </w:rPr>
        <w:t>
: 
</w:t>
      </w:r>
      <w:r>
        <w:rPr>
          <w:rFonts w:ascii="Times New Roman"/>
          <w:b w:val="false"/>
          <w:i w:val="false"/>
          <w:color w:val="000000"/>
          <w:sz w:val="28"/>
          <w:u w:val="single"/>
        </w:rPr>
        <w:t>
Программное управление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Поддержка в формировании ГУП для координирования, реализации и управления Проектом.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Механизмы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Институциональные механизмы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механизмами:
</w:t>
      </w:r>
      <w:r>
        <w:br/>
      </w:r>
      <w:r>
        <w:rPr>
          <w:rFonts w:ascii="Times New Roman"/>
          <w:b w:val="false"/>
          <w:i w:val="false"/>
          <w:color w:val="000000"/>
          <w:sz w:val="28"/>
        </w:rPr>
        <w:t>
      1. Заемщик, через МОН,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управления окружающей средой (ПУОС), и не должен передавать, вносить изменения, отменять или отказываться от каких-либо положений Руководства по реализации проекта или ПУОС без предварительного согласия Банка.
</w:t>
      </w:r>
      <w:r>
        <w:br/>
      </w:r>
      <w:r>
        <w:rPr>
          <w:rFonts w:ascii="Times New Roman"/>
          <w:b w:val="false"/>
          <w:i w:val="false"/>
          <w:color w:val="000000"/>
          <w:sz w:val="28"/>
        </w:rPr>
        <w:t>
      2. МСНК должен предоставить инструкции по всем научным вопросам, связанным с Проектом, в том числе отбор ГСНС и ГМНС, мониторинг хода научных исследований и коммерциализации, создание и функционирование научного журнала, рецензируемого на международном уровне, и надзор за ходом работ МЦМ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управления окружающей средой.
</w:t>
      </w:r>
      <w:r>
        <w:br/>
      </w:r>
      <w:r>
        <w:rPr>
          <w:rFonts w:ascii="Times New Roman"/>
          <w:b w:val="false"/>
          <w:i w:val="false"/>
          <w:color w:val="000000"/>
          <w:sz w:val="28"/>
        </w:rPr>
        <w:t>
      3. В течение всей реализации Проекта Заемщик должен обеспечивать соответствие состава, ресурсов и технических заданий МСНК требованиям Банка.
</w:t>
      </w:r>
      <w:r>
        <w:br/>
      </w:r>
      <w:r>
        <w:rPr>
          <w:rFonts w:ascii="Times New Roman"/>
          <w:b w:val="false"/>
          <w:i w:val="false"/>
          <w:color w:val="000000"/>
          <w:sz w:val="28"/>
        </w:rPr>
        <w:t>
      4. Не позднее, чем через один (1) месяц после Даты вступления Соглашения в силу, Заемщик должен принять на работу в ГУП специалиста по вопросам управления финансов, специалиста по вопросам закупок и директора согласно техническому заданию, приемлемому для Банка.
</w:t>
      </w:r>
      <w:r>
        <w:br/>
      </w:r>
      <w:r>
        <w:rPr>
          <w:rFonts w:ascii="Times New Roman"/>
          <w:b w:val="false"/>
          <w:i w:val="false"/>
          <w:color w:val="000000"/>
          <w:sz w:val="28"/>
        </w:rPr>
        <w:t>
      5. Не позднее, чем через шесть (6) недель после Даты вступления Соглашения в силу, Заемщик должен утвердить Руководство по реализации Проекта.
</w:t>
      </w:r>
      <w:r>
        <w:br/>
      </w:r>
      <w:r>
        <w:rPr>
          <w:rFonts w:ascii="Times New Roman"/>
          <w:b w:val="false"/>
          <w:i w:val="false"/>
          <w:color w:val="000000"/>
          <w:sz w:val="28"/>
        </w:rPr>
        <w:t>
      6. Заемщик должен: (а) не позднее 15 июня 2010 года подготовить исследование, в ходе которого будет проведен анализ правовой, политической и нормативной базы прав интеллектуальной собственности, реструктуризации исследовательских и проектных учреждений и технологической коммерциализации в Республике Казахстан, и (б) обменяется мнениями с Банком относительно правовых, политических и нормативных мер, необходимых для улучшения научного менеджмента, коммерциализации технологий, прав интеллектуальной собственности и реструктуризации исследовательских и проектных учреждений в Республике Казахстан, с учетом результатов исследования.
</w:t>
      </w:r>
      <w:r>
        <w:br/>
      </w:r>
      <w:r>
        <w:rPr>
          <w:rFonts w:ascii="Times New Roman"/>
          <w:b w:val="false"/>
          <w:i w:val="false"/>
          <w:color w:val="000000"/>
          <w:sz w:val="28"/>
        </w:rPr>
        <w:t>
      7. Чтобы обеспечить адекватный объем средств для покрытия участия Заемщика в Проекте, Заемщик предоставит соответствующие годовые бюджетные ассигнования МОН.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B. Подпроекты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 исполнение Части 1(b) Проекта, Заемщик предоставит Гранты ГСНС и Гранты ГМНС в соответствии с квалификационными критериями и процедурами, указанными в Руководстве по реализации проекта, которые будут содержать следующее: предложения о грантах должны (i) быть ориентированы на рынок и научно конкурентными на международном уровне; (ii) иметь исследовательскую значимость для настоящего или будущего научного, экономического и индустриального развития Казахстана, включая возможность создания исследовательских партнерств с местными или иностранными компаниями; (iii) включать в себя планы менторства магистрантов и студентов и формирования групп обучения, направленных на подготовку следующего поколения ученых; (iv) обладать потенциалом и иметь заинтересованность в проведении многофункционального исследования; (v) содержать предложения относительно охвата деятельности университетов, средних школ и общественности; и (vi) должны отбираться, оцениваться и реализовываться в соответствии с принципами и процедурами, указанными в Руководстве по реализации проекта, Руководстве по закупкам и Плане управления окружающей средой.
</w:t>
      </w:r>
      <w:r>
        <w:br/>
      </w:r>
      <w:r>
        <w:rPr>
          <w:rFonts w:ascii="Times New Roman"/>
          <w:b w:val="false"/>
          <w:i w:val="false"/>
          <w:color w:val="000000"/>
          <w:sz w:val="28"/>
        </w:rPr>
        <w:t>
      2. Заемщик предоставит каждый Грант ГСНС в соответствии с Соглашением о Гранте ГСНС и каждый Грант ГМНС в соответствии с Соглашением о Гранте ГМНС на условиях, утвержденных Банком, которые будут включать в себя следующее:
</w:t>
      </w:r>
      <w:r>
        <w:br/>
      </w:r>
      <w:r>
        <w:rPr>
          <w:rFonts w:ascii="Times New Roman"/>
          <w:b w:val="false"/>
          <w:i w:val="false"/>
          <w:color w:val="000000"/>
          <w:sz w:val="28"/>
        </w:rPr>
        <w:t>
      (a) Гранты ГСНС и Гранты ГМНС должны быть
</w:t>
      </w:r>
      <w:r>
        <w:br/>
      </w:r>
      <w:r>
        <w:rPr>
          <w:rFonts w:ascii="Times New Roman"/>
          <w:b w:val="false"/>
          <w:i w:val="false"/>
          <w:color w:val="000000"/>
          <w:sz w:val="28"/>
        </w:rPr>
        <w:t>
          выражены в тенге; и
</w:t>
      </w:r>
      <w:r>
        <w:br/>
      </w:r>
      <w:r>
        <w:rPr>
          <w:rFonts w:ascii="Times New Roman"/>
          <w:b w:val="false"/>
          <w:i w:val="false"/>
          <w:color w:val="000000"/>
          <w:sz w:val="28"/>
        </w:rPr>
        <w:t>
      (b) Заемщик получит соответствующие права для
</w:t>
      </w:r>
      <w:r>
        <w:br/>
      </w:r>
      <w:r>
        <w:rPr>
          <w:rFonts w:ascii="Times New Roman"/>
          <w:b w:val="false"/>
          <w:i w:val="false"/>
          <w:color w:val="000000"/>
          <w:sz w:val="28"/>
        </w:rPr>
        <w:t>
          защиты своих интересов и интересов Банка,
</w:t>
      </w:r>
      <w:r>
        <w:br/>
      </w:r>
      <w:r>
        <w:rPr>
          <w:rFonts w:ascii="Times New Roman"/>
          <w:b w:val="false"/>
          <w:i w:val="false"/>
          <w:color w:val="000000"/>
          <w:sz w:val="28"/>
        </w:rPr>
        <w:t>
          в том числе право:
</w:t>
      </w:r>
      <w:r>
        <w:br/>
      </w:r>
      <w:r>
        <w:rPr>
          <w:rFonts w:ascii="Times New Roman"/>
          <w:b w:val="false"/>
          <w:i w:val="false"/>
          <w:color w:val="000000"/>
          <w:sz w:val="28"/>
        </w:rPr>
        <w:t>
         (i) приостанавливать или прекращать право ГСНС или ГМНС на
</w:t>
      </w:r>
      <w:r>
        <w:br/>
      </w:r>
      <w:r>
        <w:rPr>
          <w:rFonts w:ascii="Times New Roman"/>
          <w:b w:val="false"/>
          <w:i w:val="false"/>
          <w:color w:val="000000"/>
          <w:sz w:val="28"/>
        </w:rPr>
        <w:t>
             использование средств от Гранта ГСНС или Гранта ГМНС,
</w:t>
      </w:r>
      <w:r>
        <w:br/>
      </w:r>
      <w:r>
        <w:rPr>
          <w:rFonts w:ascii="Times New Roman"/>
          <w:b w:val="false"/>
          <w:i w:val="false"/>
          <w:color w:val="000000"/>
          <w:sz w:val="28"/>
        </w:rPr>
        <w:t>
             в зависимости от обстоятельств, или на возмещение всей
</w:t>
      </w:r>
      <w:r>
        <w:br/>
      </w:r>
      <w:r>
        <w:rPr>
          <w:rFonts w:ascii="Times New Roman"/>
          <w:b w:val="false"/>
          <w:i w:val="false"/>
          <w:color w:val="000000"/>
          <w:sz w:val="28"/>
        </w:rPr>
        <w:t>
             или какой-либо части суммы Гранта ГСНС или Гранта ГМНС,
</w:t>
      </w:r>
      <w:r>
        <w:br/>
      </w:r>
      <w:r>
        <w:rPr>
          <w:rFonts w:ascii="Times New Roman"/>
          <w:b w:val="false"/>
          <w:i w:val="false"/>
          <w:color w:val="000000"/>
          <w:sz w:val="28"/>
        </w:rPr>
        <w:t>
             в случае неспособности ГСНС или ГМНС выполнить какие-либо
</w:t>
      </w:r>
      <w:r>
        <w:br/>
      </w:r>
      <w:r>
        <w:rPr>
          <w:rFonts w:ascii="Times New Roman"/>
          <w:b w:val="false"/>
          <w:i w:val="false"/>
          <w:color w:val="000000"/>
          <w:sz w:val="28"/>
        </w:rPr>
        <w:t>
             свои обязательства по Соглашению о Гранте ГСНС или по
</w:t>
      </w:r>
      <w:r>
        <w:br/>
      </w:r>
      <w:r>
        <w:rPr>
          <w:rFonts w:ascii="Times New Roman"/>
          <w:b w:val="false"/>
          <w:i w:val="false"/>
          <w:color w:val="000000"/>
          <w:sz w:val="28"/>
        </w:rPr>
        <w:t>
             Соглашению о Гранте ГМНС соответственно; и
</w:t>
      </w:r>
      <w:r>
        <w:br/>
      </w:r>
      <w:r>
        <w:rPr>
          <w:rFonts w:ascii="Times New Roman"/>
          <w:b w:val="false"/>
          <w:i w:val="false"/>
          <w:color w:val="000000"/>
          <w:sz w:val="28"/>
        </w:rPr>
        <w:t>
         (ii) требовать от всех ГСНС и всех ГМНС: (А) выполнения своих
</w:t>
      </w:r>
      <w:r>
        <w:br/>
      </w:r>
      <w:r>
        <w:rPr>
          <w:rFonts w:ascii="Times New Roman"/>
          <w:b w:val="false"/>
          <w:i w:val="false"/>
          <w:color w:val="000000"/>
          <w:sz w:val="28"/>
        </w:rPr>
        <w:t>
             обязательств по Соглашению о Гранте ГСНС или по Соглашению
</w:t>
      </w:r>
      <w:r>
        <w:br/>
      </w:r>
      <w:r>
        <w:rPr>
          <w:rFonts w:ascii="Times New Roman"/>
          <w:b w:val="false"/>
          <w:i w:val="false"/>
          <w:color w:val="000000"/>
          <w:sz w:val="28"/>
        </w:rPr>
        <w:t>
             о Гранте ГМНС, в зависимости от обстоятельств, с должным
</w:t>
      </w:r>
      <w:r>
        <w:br/>
      </w:r>
      <w:r>
        <w:rPr>
          <w:rFonts w:ascii="Times New Roman"/>
          <w:b w:val="false"/>
          <w:i w:val="false"/>
          <w:color w:val="000000"/>
          <w:sz w:val="28"/>
        </w:rPr>
        <w:t>
             усердием и эффективностью и в соответствии с объективными
</w:t>
      </w:r>
      <w:r>
        <w:br/>
      </w:r>
      <w:r>
        <w:rPr>
          <w:rFonts w:ascii="Times New Roman"/>
          <w:b w:val="false"/>
          <w:i w:val="false"/>
          <w:color w:val="000000"/>
          <w:sz w:val="28"/>
        </w:rPr>
        <w:t>
             техническими, экономическими, финансовыми, управленческими,
</w:t>
      </w:r>
      <w:r>
        <w:br/>
      </w:r>
      <w:r>
        <w:rPr>
          <w:rFonts w:ascii="Times New Roman"/>
          <w:b w:val="false"/>
          <w:i w:val="false"/>
          <w:color w:val="000000"/>
          <w:sz w:val="28"/>
        </w:rPr>
        <w:t>
             экологическими и социальными стандартами и практикой,
</w:t>
      </w:r>
      <w:r>
        <w:br/>
      </w:r>
      <w:r>
        <w:rPr>
          <w:rFonts w:ascii="Times New Roman"/>
          <w:b w:val="false"/>
          <w:i w:val="false"/>
          <w:color w:val="000000"/>
          <w:sz w:val="28"/>
        </w:rPr>
        <w:t>
             удовлетворительно для Банка, в том числе в соответствии
</w:t>
      </w:r>
      <w:r>
        <w:br/>
      </w:r>
      <w:r>
        <w:rPr>
          <w:rFonts w:ascii="Times New Roman"/>
          <w:b w:val="false"/>
          <w:i w:val="false"/>
          <w:color w:val="000000"/>
          <w:sz w:val="28"/>
        </w:rPr>
        <w:t>
             с положения ПУОС; (В) незамедлительного, по мере
</w:t>
      </w:r>
      <w:r>
        <w:br/>
      </w:r>
      <w:r>
        <w:rPr>
          <w:rFonts w:ascii="Times New Roman"/>
          <w:b w:val="false"/>
          <w:i w:val="false"/>
          <w:color w:val="000000"/>
          <w:sz w:val="28"/>
        </w:rPr>
        <w:t>
             необходимости, обеспечения, ресурсов, требуемых в этих
</w:t>
      </w:r>
      <w:r>
        <w:br/>
      </w:r>
      <w:r>
        <w:rPr>
          <w:rFonts w:ascii="Times New Roman"/>
          <w:b w:val="false"/>
          <w:i w:val="false"/>
          <w:color w:val="000000"/>
          <w:sz w:val="28"/>
        </w:rPr>
        <w:t>
             целях; (С) закупа товаров, работ и услуг, которые должны
</w:t>
      </w:r>
      <w:r>
        <w:br/>
      </w:r>
      <w:r>
        <w:rPr>
          <w:rFonts w:ascii="Times New Roman"/>
          <w:b w:val="false"/>
          <w:i w:val="false"/>
          <w:color w:val="000000"/>
          <w:sz w:val="28"/>
        </w:rPr>
        <w:t>
             финансироваться на основании Соглашения о Гранте ГСНС или
</w:t>
      </w:r>
      <w:r>
        <w:br/>
      </w:r>
      <w:r>
        <w:rPr>
          <w:rFonts w:ascii="Times New Roman"/>
          <w:b w:val="false"/>
          <w:i w:val="false"/>
          <w:color w:val="000000"/>
          <w:sz w:val="28"/>
        </w:rPr>
        <w:t>
             Соглашения о Гранте ГМНС, в зависимости от обстоятельств,
</w:t>
      </w:r>
      <w:r>
        <w:br/>
      </w:r>
      <w:r>
        <w:rPr>
          <w:rFonts w:ascii="Times New Roman"/>
          <w:b w:val="false"/>
          <w:i w:val="false"/>
          <w:color w:val="000000"/>
          <w:sz w:val="28"/>
        </w:rPr>
        <w:t>
             в соответствии с положениями настоящего Соглашения
</w:t>
      </w:r>
      <w:r>
        <w:br/>
      </w:r>
      <w:r>
        <w:rPr>
          <w:rFonts w:ascii="Times New Roman"/>
          <w:b w:val="false"/>
          <w:i w:val="false"/>
          <w:color w:val="000000"/>
          <w:sz w:val="28"/>
        </w:rPr>
        <w:t>
             и Руководства по закупкам; (D) поддержания соответствующих
</w:t>
      </w:r>
      <w:r>
        <w:br/>
      </w:r>
      <w:r>
        <w:rPr>
          <w:rFonts w:ascii="Times New Roman"/>
          <w:b w:val="false"/>
          <w:i w:val="false"/>
          <w:color w:val="000000"/>
          <w:sz w:val="28"/>
        </w:rPr>
        <w:t>
             стратегий и процедур, дающих возможность осуществлять
</w:t>
      </w:r>
      <w:r>
        <w:br/>
      </w:r>
      <w:r>
        <w:rPr>
          <w:rFonts w:ascii="Times New Roman"/>
          <w:b w:val="false"/>
          <w:i w:val="false"/>
          <w:color w:val="000000"/>
          <w:sz w:val="28"/>
        </w:rPr>
        <w:t>
             мониторинг и оценку, в соответствии с индикаторами,
</w:t>
      </w:r>
      <w:r>
        <w:br/>
      </w:r>
      <w:r>
        <w:rPr>
          <w:rFonts w:ascii="Times New Roman"/>
          <w:b w:val="false"/>
          <w:i w:val="false"/>
          <w:color w:val="000000"/>
          <w:sz w:val="28"/>
        </w:rPr>
        <w:t>
             приемлемыми для Банка, хода работ по подпроекту и достижения
</w:t>
      </w:r>
      <w:r>
        <w:br/>
      </w:r>
      <w:r>
        <w:rPr>
          <w:rFonts w:ascii="Times New Roman"/>
          <w:b w:val="false"/>
          <w:i w:val="false"/>
          <w:color w:val="000000"/>
          <w:sz w:val="28"/>
        </w:rPr>
        <w:t>
             его целей; (E) (1) применения системы финансового управления
</w:t>
      </w:r>
      <w:r>
        <w:br/>
      </w:r>
      <w:r>
        <w:rPr>
          <w:rFonts w:ascii="Times New Roman"/>
          <w:b w:val="false"/>
          <w:i w:val="false"/>
          <w:color w:val="000000"/>
          <w:sz w:val="28"/>
        </w:rPr>
        <w:t>
             и подготовки финансовой отчетности в соответствии с
</w:t>
      </w:r>
      <w:r>
        <w:br/>
      </w:r>
      <w:r>
        <w:rPr>
          <w:rFonts w:ascii="Times New Roman"/>
          <w:b w:val="false"/>
          <w:i w:val="false"/>
          <w:color w:val="000000"/>
          <w:sz w:val="28"/>
        </w:rPr>
        <w:t>
             согласованно применяемыми стандартами бухгалтерского учета,
</w:t>
      </w:r>
      <w:r>
        <w:br/>
      </w:r>
      <w:r>
        <w:rPr>
          <w:rFonts w:ascii="Times New Roman"/>
          <w:b w:val="false"/>
          <w:i w:val="false"/>
          <w:color w:val="000000"/>
          <w:sz w:val="28"/>
        </w:rPr>
        <w:t>
             приемлемыми для Банка, в манере, соответствующей для
</w:t>
      </w:r>
      <w:r>
        <w:br/>
      </w:r>
      <w:r>
        <w:rPr>
          <w:rFonts w:ascii="Times New Roman"/>
          <w:b w:val="false"/>
          <w:i w:val="false"/>
          <w:color w:val="000000"/>
          <w:sz w:val="28"/>
        </w:rPr>
        <w:t>
             отражения оперативной деятельности, ресурсов и расходов,
</w:t>
      </w:r>
      <w:r>
        <w:br/>
      </w:r>
      <w:r>
        <w:rPr>
          <w:rFonts w:ascii="Times New Roman"/>
          <w:b w:val="false"/>
          <w:i w:val="false"/>
          <w:color w:val="000000"/>
          <w:sz w:val="28"/>
        </w:rPr>
        <w:t>
             относящихся к подпроекту; и (2) по просьбе Банка или по
</w:t>
      </w:r>
      <w:r>
        <w:br/>
      </w:r>
      <w:r>
        <w:rPr>
          <w:rFonts w:ascii="Times New Roman"/>
          <w:b w:val="false"/>
          <w:i w:val="false"/>
          <w:color w:val="000000"/>
          <w:sz w:val="28"/>
        </w:rPr>
        <w:t>
             просьбе Заемщика, выполнения аудита этой финансовой
</w:t>
      </w:r>
      <w:r>
        <w:br/>
      </w:r>
      <w:r>
        <w:rPr>
          <w:rFonts w:ascii="Times New Roman"/>
          <w:b w:val="false"/>
          <w:i w:val="false"/>
          <w:color w:val="000000"/>
          <w:sz w:val="28"/>
        </w:rPr>
        <w:t>
             отчетности независимыми аудиторами, одобренными Банком,
</w:t>
      </w:r>
      <w:r>
        <w:br/>
      </w:r>
      <w:r>
        <w:rPr>
          <w:rFonts w:ascii="Times New Roman"/>
          <w:b w:val="false"/>
          <w:i w:val="false"/>
          <w:color w:val="000000"/>
          <w:sz w:val="28"/>
        </w:rPr>
        <w:t>
             в соответствии с согласованно применяемыми стандартами
</w:t>
      </w:r>
      <w:r>
        <w:br/>
      </w:r>
      <w:r>
        <w:rPr>
          <w:rFonts w:ascii="Times New Roman"/>
          <w:b w:val="false"/>
          <w:i w:val="false"/>
          <w:color w:val="000000"/>
          <w:sz w:val="28"/>
        </w:rPr>
        <w:t>
             аудита, приемлемыми для Банка, и незамедлительного
</w:t>
      </w:r>
      <w:r>
        <w:br/>
      </w:r>
      <w:r>
        <w:rPr>
          <w:rFonts w:ascii="Times New Roman"/>
          <w:b w:val="false"/>
          <w:i w:val="false"/>
          <w:color w:val="000000"/>
          <w:sz w:val="28"/>
        </w:rPr>
        <w:t>
             предоставления отчетности, по которой проведен аудит,
</w:t>
      </w:r>
      <w:r>
        <w:br/>
      </w:r>
      <w:r>
        <w:rPr>
          <w:rFonts w:ascii="Times New Roman"/>
          <w:b w:val="false"/>
          <w:i w:val="false"/>
          <w:color w:val="000000"/>
          <w:sz w:val="28"/>
        </w:rPr>
        <w:t>
             Заемщику и Банку; (F) предоставления возможности Заемщику
</w:t>
      </w:r>
      <w:r>
        <w:br/>
      </w:r>
      <w:r>
        <w:rPr>
          <w:rFonts w:ascii="Times New Roman"/>
          <w:b w:val="false"/>
          <w:i w:val="false"/>
          <w:color w:val="000000"/>
          <w:sz w:val="28"/>
        </w:rPr>
        <w:t>
             и Банку осуществлять инспектирование подпроекта, его
</w:t>
      </w:r>
      <w:r>
        <w:br/>
      </w:r>
      <w:r>
        <w:rPr>
          <w:rFonts w:ascii="Times New Roman"/>
          <w:b w:val="false"/>
          <w:i w:val="false"/>
          <w:color w:val="000000"/>
          <w:sz w:val="28"/>
        </w:rPr>
        <w:t>
             оперативной деятельности и любых соответствующих данных
</w:t>
      </w:r>
      <w:r>
        <w:br/>
      </w:r>
      <w:r>
        <w:rPr>
          <w:rFonts w:ascii="Times New Roman"/>
          <w:b w:val="false"/>
          <w:i w:val="false"/>
          <w:color w:val="000000"/>
          <w:sz w:val="28"/>
        </w:rPr>
        <w:t>
             и документов; и (G) подготовки и предоставления Заемщику
</w:t>
      </w:r>
      <w:r>
        <w:br/>
      </w:r>
      <w:r>
        <w:rPr>
          <w:rFonts w:ascii="Times New Roman"/>
          <w:b w:val="false"/>
          <w:i w:val="false"/>
          <w:color w:val="000000"/>
          <w:sz w:val="28"/>
        </w:rPr>
        <w:t>
             и Банку всей той информации, которую Заемщик или Банк
</w:t>
      </w:r>
      <w:r>
        <w:br/>
      </w:r>
      <w:r>
        <w:rPr>
          <w:rFonts w:ascii="Times New Roman"/>
          <w:b w:val="false"/>
          <w:i w:val="false"/>
          <w:color w:val="000000"/>
          <w:sz w:val="28"/>
        </w:rPr>
        <w:t>
             обоснованно запросит, если это имеет отношение
</w:t>
      </w:r>
      <w:r>
        <w:br/>
      </w:r>
      <w:r>
        <w:rPr>
          <w:rFonts w:ascii="Times New Roman"/>
          <w:b w:val="false"/>
          <w:i w:val="false"/>
          <w:color w:val="000000"/>
          <w:sz w:val="28"/>
        </w:rPr>
        <w:t>
             к вышесказанному.
</w:t>
      </w:r>
      <w:r>
        <w:br/>
      </w:r>
      <w:r>
        <w:rPr>
          <w:rFonts w:ascii="Times New Roman"/>
          <w:b w:val="false"/>
          <w:i w:val="false"/>
          <w:color w:val="000000"/>
          <w:sz w:val="28"/>
        </w:rPr>
        <w:t>
      3. Заемщик должен использовать свои права в соответствии с каждым Соглашением о Гранте ГСНС и в соответствии с каждым Соглашением о Гранте ГМНС в такой манере, которая позволяет защищать интересы Заемщика и Банка, а также выполнять задачи Займа. За исключением случаев, на которые согласится Банк, Заемщик не будет передавать, вносить изменения, отменять или отказываться от какого-либо Соглашения о Гранте ГСНС или какого-либо Соглашения о Гранте ГМНС или каких-либо их положений.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Мониторинг Проекта, отчетность и оценка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Отчеты по Проекту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готовит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должен быть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чем через шесть (6) месяцев после даты закрытия проекта.
</w:t>
      </w:r>
      <w:r>
        <w:br/>
      </w:r>
      <w:r>
        <w:rPr>
          <w:rFonts w:ascii="Times New Roman"/>
          <w:b w:val="false"/>
          <w:i w:val="false"/>
          <w:color w:val="000000"/>
          <w:sz w:val="28"/>
        </w:rPr>
        <w:t>
      3. 15 июня 2010 года или примерно в этот срок, Заемщик, через МОН, проведет совместно со Всемирным банком среднесрочный обзор прогресса реализации Проекта (далее - Среднесрочный обзор). Среднесрочный обзор, среди прочего, будет охватывать:
</w:t>
      </w:r>
      <w:r>
        <w:br/>
      </w:r>
      <w:r>
        <w:rPr>
          <w:rFonts w:ascii="Times New Roman"/>
          <w:b w:val="false"/>
          <w:i w:val="false"/>
          <w:color w:val="000000"/>
          <w:sz w:val="28"/>
        </w:rPr>
        <w:t>
      (a) прогресс в достижении целей Проекта; и
</w:t>
      </w:r>
      <w:r>
        <w:br/>
      </w:r>
      <w:r>
        <w:rPr>
          <w:rFonts w:ascii="Times New Roman"/>
          <w:b w:val="false"/>
          <w:i w:val="false"/>
          <w:color w:val="000000"/>
          <w:sz w:val="28"/>
        </w:rPr>
        <w:t>
      (b) общее исполнение Проекта в соответствии
</w:t>
      </w:r>
      <w:r>
        <w:br/>
      </w:r>
      <w:r>
        <w:rPr>
          <w:rFonts w:ascii="Times New Roman"/>
          <w:b w:val="false"/>
          <w:i w:val="false"/>
          <w:color w:val="000000"/>
          <w:sz w:val="28"/>
        </w:rPr>
        <w:t>
          с показателями эффективности.
</w:t>
      </w:r>
      <w:r>
        <w:br/>
      </w:r>
      <w:r>
        <w:rPr>
          <w:rFonts w:ascii="Times New Roman"/>
          <w:b w:val="false"/>
          <w:i w:val="false"/>
          <w:color w:val="000000"/>
          <w:sz w:val="28"/>
        </w:rPr>
        <w:t>
      4. По меньшей мере за четыре (4) недели до Среднесрочного обзора Заемщик, через МОН, представит Банку отдельный отчет с описанием статуса реализации каждого компонента Проекта и сводный отчет об общей реализации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Финансовое управление, финансовая отчетность и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2. Если положениями Части А данного Раздела не предусмотрено иное, Заемщик обязан готовить и представлять в Банк не позднее, чем через сорок пять (45) дней после окончания каждого календарного квартала промежуточные финансовые отчеты по Проекту, непроверенные аудитором, за данный квартал, приемлемые для Банка по форме и содержанию.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Банку не позднее, чем спустя шесть (6)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Закупки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указанными или на которые содержатся ссылки в Разделе I и IV Руководства по консультантам, а также в соответствии с положениями настоящего Раздела.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ссылаются на соответствующий метод, описываемый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Определенные методы закупок товаров и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II Руководства по закупкам.
</w:t>
      </w:r>
      <w:r>
        <w:br/>
      </w:r>
      <w:r>
        <w:rPr>
          <w:rFonts w:ascii="Times New Roman"/>
          <w:b w:val="false"/>
          <w:i w:val="false"/>
          <w:color w:val="000000"/>
          <w:sz w:val="28"/>
        </w:rPr>
        <w:t>
      2. 
</w:t>
      </w:r>
      <w:r>
        <w:rPr>
          <w:rFonts w:ascii="Times New Roman"/>
          <w:b/>
          <w:i w:val="false"/>
          <w:color w:val="000000"/>
          <w:sz w:val="28"/>
        </w:rPr>
        <w:t>
Прочие методы закупок товаров и услуг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tblGrid>
      <w:tr>
        <w:trPr>
          <w:trHeight w:val="450" w:hRule="atLeast"/>
        </w:trPr>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согласно
</w:t>
            </w:r>
            <w:r>
              <w:br/>
            </w:r>
            <w:r>
              <w:rPr>
                <w:rFonts w:ascii="Times New Roman"/>
                <w:b w:val="false"/>
                <w:i w:val="false"/>
                <w:color w:val="000000"/>
                <w:sz w:val="20"/>
              </w:rPr>
              <w:t>
дополнительным положениям, установленным
</w:t>
            </w:r>
            <w:r>
              <w:br/>
            </w:r>
            <w:r>
              <w:rPr>
                <w:rFonts w:ascii="Times New Roman"/>
                <w:b w:val="false"/>
                <w:i w:val="false"/>
                <w:color w:val="000000"/>
                <w:sz w:val="20"/>
              </w:rPr>
              <w:t>
в Дополнении к данному Приложению 2
</w:t>
            </w:r>
          </w:p>
        </w:tc>
      </w:tr>
      <w:tr>
        <w:trPr>
          <w:trHeight w:val="450" w:hRule="atLeast"/>
        </w:trPr>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Закупки в торговой сети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Определенные методы закупки услуг консультантов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на основе Отбора с учетом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консультантов. План закупок должен содержать обстоятельства, при которых могут использоваться эти методы.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tblGrid>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 Отбор на основе качества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Отбор на основании фиксированного бюджета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 Отбор на основании квалификаций консультантов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 Выбор одного источника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 Процедуры, указанные в пунктах 5.2 и 5.3
</w:t>
            </w:r>
            <w:r>
              <w:br/>
            </w:r>
            <w:r>
              <w:rPr>
                <w:rFonts w:ascii="Times New Roman"/>
                <w:b w:val="false"/>
                <w:i w:val="false"/>
                <w:color w:val="000000"/>
                <w:sz w:val="20"/>
              </w:rPr>
              <w:t>
Руководства по консультантам для отбора
</w:t>
            </w:r>
            <w:r>
              <w:br/>
            </w:r>
            <w:r>
              <w:rPr>
                <w:rFonts w:ascii="Times New Roman"/>
                <w:b w:val="false"/>
                <w:i w:val="false"/>
                <w:color w:val="000000"/>
                <w:sz w:val="20"/>
              </w:rPr>
              <w:t>
отдельных консультантов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 Процедуры по выбору одного источника для
</w:t>
            </w:r>
            <w:r>
              <w:br/>
            </w:r>
            <w:r>
              <w:rPr>
                <w:rFonts w:ascii="Times New Roman"/>
                <w:b w:val="false"/>
                <w:i w:val="false"/>
                <w:color w:val="000000"/>
                <w:sz w:val="20"/>
              </w:rPr>
              <w:t>
отбора отдельных консультантов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Рассмотрение Банком решений по закупкам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указывать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Снятие средств Займа со 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как указано в таблице пункта 2 ниже.
</w:t>
      </w:r>
      <w:r>
        <w:br/>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133"/>
        <w:gridCol w:w="3213"/>
      </w:tblGrid>
      <w:tr>
        <w:trPr>
          <w:trHeight w:val="9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Выделенная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сумма Займа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долларовом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эквиваленте)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расходов,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подлежащая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финансированию
</w:t>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Гранты ГСНС и
</w:t>
            </w:r>
            <w:r>
              <w:br/>
            </w:r>
            <w:r>
              <w:rPr>
                <w:rFonts w:ascii="Times New Roman"/>
                <w:b w:val="false"/>
                <w:i w:val="false"/>
                <w:color w:val="000000"/>
                <w:sz w:val="20"/>
              </w:rPr>
              <w:t>
Гранты ГМНС
</w:t>
            </w:r>
            <w:r>
              <w:br/>
            </w:r>
            <w:r>
              <w:rPr>
                <w:rFonts w:ascii="Times New Roman"/>
                <w:b w:val="false"/>
                <w:i w:val="false"/>
                <w:color w:val="000000"/>
                <w:sz w:val="20"/>
              </w:rPr>
              <w:t>
согласно Части
</w:t>
            </w:r>
            <w:r>
              <w:br/>
            </w:r>
            <w:r>
              <w:rPr>
                <w:rFonts w:ascii="Times New Roman"/>
                <w:b w:val="false"/>
                <w:i w:val="false"/>
                <w:color w:val="000000"/>
                <w:sz w:val="20"/>
              </w:rPr>
              <w:t>
1(b) Проекта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10 500 000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Услуги
</w:t>
            </w:r>
            <w:r>
              <w:br/>
            </w:r>
            <w:r>
              <w:rPr>
                <w:rFonts w:ascii="Times New Roman"/>
                <w:b w:val="false"/>
                <w:i w:val="false"/>
                <w:color w:val="000000"/>
                <w:sz w:val="20"/>
              </w:rPr>
              <w:t>
консультантов в
</w:t>
            </w:r>
            <w:r>
              <w:br/>
            </w:r>
            <w:r>
              <w:rPr>
                <w:rFonts w:ascii="Times New Roman"/>
                <w:b w:val="false"/>
                <w:i w:val="false"/>
                <w:color w:val="000000"/>
                <w:sz w:val="20"/>
              </w:rPr>
              <w:t>
отношении Части
</w:t>
            </w:r>
            <w:r>
              <w:br/>
            </w:r>
            <w:r>
              <w:rPr>
                <w:rFonts w:ascii="Times New Roman"/>
                <w:b w:val="false"/>
                <w:i w:val="false"/>
                <w:color w:val="000000"/>
                <w:sz w:val="20"/>
              </w:rPr>
              <w:t>
2(a) Проекта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2 400 000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Услуги
</w:t>
            </w:r>
            <w:r>
              <w:br/>
            </w:r>
            <w:r>
              <w:rPr>
                <w:rFonts w:ascii="Times New Roman"/>
                <w:b w:val="false"/>
                <w:i w:val="false"/>
                <w:color w:val="000000"/>
                <w:sz w:val="20"/>
              </w:rPr>
              <w:t>
консультантов в
</w:t>
            </w:r>
            <w:r>
              <w:br/>
            </w:r>
            <w:r>
              <w:rPr>
                <w:rFonts w:ascii="Times New Roman"/>
                <w:b w:val="false"/>
                <w:i w:val="false"/>
                <w:color w:val="000000"/>
                <w:sz w:val="20"/>
              </w:rPr>
              <w:t>
отношении Части
</w:t>
            </w:r>
            <w:r>
              <w:br/>
            </w:r>
            <w:r>
              <w:rPr>
                <w:rFonts w:ascii="Times New Roman"/>
                <w:b w:val="false"/>
                <w:i w:val="false"/>
                <w:color w:val="000000"/>
                <w:sz w:val="20"/>
              </w:rPr>
              <w:t>
2(c) Проекта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13 400 000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Условия снятия; период снятия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снимаются:
</w:t>
      </w:r>
      <w:r>
        <w:br/>
      </w:r>
      <w:r>
        <w:rPr>
          <w:rFonts w:ascii="Times New Roman"/>
          <w:b w:val="false"/>
          <w:i w:val="false"/>
          <w:color w:val="000000"/>
          <w:sz w:val="28"/>
        </w:rPr>
        <w:t>
      (a) по платежам, произведенным до даты настоящего Соглашения;
</w:t>
      </w:r>
      <w:r>
        <w:br/>
      </w:r>
      <w:r>
        <w:rPr>
          <w:rFonts w:ascii="Times New Roman"/>
          <w:b w:val="false"/>
          <w:i w:val="false"/>
          <w:color w:val="000000"/>
          <w:sz w:val="28"/>
        </w:rPr>
        <w:t>
      (b) со счета Займа до тех пор, пока Банк не получит полную
</w:t>
      </w:r>
      <w:r>
        <w:br/>
      </w:r>
      <w:r>
        <w:rPr>
          <w:rFonts w:ascii="Times New Roman"/>
          <w:b w:val="false"/>
          <w:i w:val="false"/>
          <w:color w:val="000000"/>
          <w:sz w:val="28"/>
        </w:rPr>
        <w:t>
          оплату Комиссии за открытие займа и
</w:t>
      </w:r>
      <w:r>
        <w:br/>
      </w:r>
      <w:r>
        <w:rPr>
          <w:rFonts w:ascii="Times New Roman"/>
          <w:b w:val="false"/>
          <w:i w:val="false"/>
          <w:color w:val="000000"/>
          <w:sz w:val="28"/>
        </w:rPr>
        <w:t>
      (c) в соответствии с категорией 1, если не будет создано МСНК,
</w:t>
      </w:r>
      <w:r>
        <w:br/>
      </w:r>
      <w:r>
        <w:rPr>
          <w:rFonts w:ascii="Times New Roman"/>
          <w:b w:val="false"/>
          <w:i w:val="false"/>
          <w:color w:val="000000"/>
          <w:sz w:val="28"/>
        </w:rPr>
        <w:t>
          на приемлемых для Банка условиях и
</w:t>
      </w:r>
      <w:r>
        <w:br/>
      </w:r>
      <w:r>
        <w:rPr>
          <w:rFonts w:ascii="Times New Roman"/>
          <w:b w:val="false"/>
          <w:i w:val="false"/>
          <w:color w:val="000000"/>
          <w:sz w:val="28"/>
        </w:rPr>
        <w:t>
      (d) в соответствии с Категорией 3 таблицы в Части А. 2 Раздела IV
</w:t>
      </w:r>
      <w:r>
        <w:br/>
      </w:r>
      <w:r>
        <w:rPr>
          <w:rFonts w:ascii="Times New Roman"/>
          <w:b w:val="false"/>
          <w:i w:val="false"/>
          <w:color w:val="000000"/>
          <w:sz w:val="28"/>
        </w:rPr>
        <w:t>
          Приложения 2 к настоящему Соглашению, если не будет создан
</w:t>
      </w:r>
      <w:r>
        <w:br/>
      </w:r>
      <w:r>
        <w:rPr>
          <w:rFonts w:ascii="Times New Roman"/>
          <w:b w:val="false"/>
          <w:i w:val="false"/>
          <w:color w:val="000000"/>
          <w:sz w:val="28"/>
        </w:rPr>
        <w:t>
          ОКТ, на приемлемых для Банка условиях.
</w:t>
      </w:r>
      <w:r>
        <w:br/>
      </w:r>
      <w:r>
        <w:rPr>
          <w:rFonts w:ascii="Times New Roman"/>
          <w:b w:val="false"/>
          <w:i w:val="false"/>
          <w:color w:val="000000"/>
          <w:sz w:val="28"/>
        </w:rPr>
        <w:t>
      2. Дата закрытия - 31 декабря 2012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 Участие государственных предприятий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организациями, зависимыми от ведомства, заключающего контракт в качестве заказчика.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B. Конкурсная документация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осуществляющие закупки, должны использовать стандартный пакет конкурсной документации для закупки товаров, приемлемой для Банка.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 Вскрытие и оценка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Вскрытие заявок происходит публично, незамедлительно после
</w:t>
      </w:r>
      <w:r>
        <w:br/>
      </w:r>
      <w:r>
        <w:rPr>
          <w:rFonts w:ascii="Times New Roman"/>
          <w:b w:val="false"/>
          <w:i w:val="false"/>
          <w:color w:val="000000"/>
          <w:sz w:val="28"/>
        </w:rPr>
        <w:t>
          наступления окончательного срока предоставления заявок;
</w:t>
      </w:r>
      <w:r>
        <w:br/>
      </w:r>
      <w:r>
        <w:rPr>
          <w:rFonts w:ascii="Times New Roman"/>
          <w:b w:val="false"/>
          <w:i w:val="false"/>
          <w:color w:val="000000"/>
          <w:sz w:val="28"/>
        </w:rPr>
        <w:t>
      (b) Оценка заявок должна производиться в строгом соответствии
</w:t>
      </w:r>
      <w:r>
        <w:br/>
      </w:r>
      <w:r>
        <w:rPr>
          <w:rFonts w:ascii="Times New Roman"/>
          <w:b w:val="false"/>
          <w:i w:val="false"/>
          <w:color w:val="000000"/>
          <w:sz w:val="28"/>
        </w:rPr>
        <w:t>
          с монетарно исчисляемыми критериями, заявленными
</w:t>
      </w:r>
      <w:r>
        <w:br/>
      </w:r>
      <w:r>
        <w:rPr>
          <w:rFonts w:ascii="Times New Roman"/>
          <w:b w:val="false"/>
          <w:i w:val="false"/>
          <w:color w:val="000000"/>
          <w:sz w:val="28"/>
        </w:rPr>
        <w:t>
          в конкурсной документации;
</w:t>
      </w:r>
      <w:r>
        <w:br/>
      </w:r>
      <w:r>
        <w:rPr>
          <w:rFonts w:ascii="Times New Roman"/>
          <w:b w:val="false"/>
          <w:i w:val="false"/>
          <w:color w:val="000000"/>
          <w:sz w:val="28"/>
        </w:rPr>
        <w:t>
      (c) Принцип предпочтения отечественных поставщиков не должен
</w:t>
      </w:r>
      <w:r>
        <w:br/>
      </w:r>
      <w:r>
        <w:rPr>
          <w:rFonts w:ascii="Times New Roman"/>
          <w:b w:val="false"/>
          <w:i w:val="false"/>
          <w:color w:val="000000"/>
          <w:sz w:val="28"/>
        </w:rPr>
        <w:t>
          применяться;
</w:t>
      </w:r>
      <w:r>
        <w:br/>
      </w:r>
      <w:r>
        <w:rPr>
          <w:rFonts w:ascii="Times New Roman"/>
          <w:b w:val="false"/>
          <w:i w:val="false"/>
          <w:color w:val="000000"/>
          <w:sz w:val="28"/>
        </w:rPr>
        <w:t>
      (d) Контракты присуждаются квалифицированному соискателю,
</w:t>
      </w:r>
      <w:r>
        <w:br/>
      </w:r>
      <w:r>
        <w:rPr>
          <w:rFonts w:ascii="Times New Roman"/>
          <w:b w:val="false"/>
          <w:i w:val="false"/>
          <w:color w:val="000000"/>
          <w:sz w:val="28"/>
        </w:rPr>
        <w:t>
          представившему заявку, максимально отвечающую всем
</w:t>
      </w:r>
      <w:r>
        <w:br/>
      </w:r>
      <w:r>
        <w:rPr>
          <w:rFonts w:ascii="Times New Roman"/>
          <w:b w:val="false"/>
          <w:i w:val="false"/>
          <w:color w:val="000000"/>
          <w:sz w:val="28"/>
        </w:rPr>
        <w:t>
          требованиям и с наименьшей оценочной стоимостью, при
</w:t>
      </w:r>
      <w:r>
        <w:br/>
      </w:r>
      <w:r>
        <w:rPr>
          <w:rFonts w:ascii="Times New Roman"/>
          <w:b w:val="false"/>
          <w:i w:val="false"/>
          <w:color w:val="000000"/>
          <w:sz w:val="28"/>
        </w:rPr>
        <w:t>
          этом переговоры не предусматриваются.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Корректировка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E. Аннулирование процесса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тендера несостоявшимся и объявление о приеме новых заявок может быть осуществлено только с предварительного согласия Банка.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F. Отклонение отдельных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следующих случаях:
</w:t>
      </w:r>
      <w:r>
        <w:br/>
      </w:r>
      <w:r>
        <w:rPr>
          <w:rFonts w:ascii="Times New Roman"/>
          <w:b w:val="false"/>
          <w:i w:val="false"/>
          <w:color w:val="000000"/>
          <w:sz w:val="28"/>
        </w:rPr>
        <w:t>
      (a) если соискатель не соответствует квалификационным требованиям;
</w:t>
      </w:r>
      <w:r>
        <w:br/>
      </w:r>
      <w:r>
        <w:rPr>
          <w:rFonts w:ascii="Times New Roman"/>
          <w:b w:val="false"/>
          <w:i w:val="false"/>
          <w:color w:val="000000"/>
          <w:sz w:val="28"/>
        </w:rPr>
        <w:t>
      (b) соискатель не принимает исправления арифметической ошибки,
</w:t>
      </w:r>
      <w:r>
        <w:br/>
      </w:r>
      <w:r>
        <w:rPr>
          <w:rFonts w:ascii="Times New Roman"/>
          <w:b w:val="false"/>
          <w:i w:val="false"/>
          <w:color w:val="000000"/>
          <w:sz w:val="28"/>
        </w:rPr>
        <w:t>
          содержащейся в его конкурсной заявке, сделанного Тендерной
</w:t>
      </w:r>
      <w:r>
        <w:br/>
      </w:r>
      <w:r>
        <w:rPr>
          <w:rFonts w:ascii="Times New Roman"/>
          <w:b w:val="false"/>
          <w:i w:val="false"/>
          <w:color w:val="000000"/>
          <w:sz w:val="28"/>
        </w:rPr>
        <w:t>
          комиссией закупающего учреждения; и
</w:t>
      </w:r>
      <w:r>
        <w:br/>
      </w:r>
      <w:r>
        <w:rPr>
          <w:rFonts w:ascii="Times New Roman"/>
          <w:b w:val="false"/>
          <w:i w:val="false"/>
          <w:color w:val="000000"/>
          <w:sz w:val="28"/>
        </w:rPr>
        <w:t>
      (с) соискатель не отвечает требованиям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Погашение основной суммы
</w:t>
      </w:r>
      <w:r>
        <w:br/>
      </w:r>
      <w:r>
        <w:rPr>
          <w:rFonts w:ascii="Times New Roman"/>
          <w:b w:val="false"/>
          <w:i w:val="false"/>
          <w:color w:val="000000"/>
          <w:sz w:val="28"/>
        </w:rPr>
        <w:t>
</w:t>
      </w:r>
      <w:r>
        <w:rPr>
          <w:rFonts w:ascii="Times New Roman"/>
          <w:b w:val="false"/>
          <w:i w:val="false"/>
          <w:color w:val="000000"/>
          <w:sz w:val="28"/>
          <w:u w:val="single"/>
        </w:rPr>
        <w:t>
Дата платежа по основному
</w:t>
      </w:r>
      <w:r>
        <w:rPr>
          <w:rFonts w:ascii="Times New Roman"/>
          <w:b w:val="false"/>
          <w:i w:val="false"/>
          <w:color w:val="000000"/>
          <w:sz w:val="28"/>
        </w:rPr>
        <w:t>
                     займа
</w:t>
      </w:r>
      <w:r>
        <w:br/>
      </w:r>
      <w:r>
        <w:rPr>
          <w:rFonts w:ascii="Times New Roman"/>
          <w:b w:val="false"/>
          <w:i w:val="false"/>
          <w:color w:val="000000"/>
          <w:sz w:val="28"/>
        </w:rPr>
        <w:t>
</w:t>
      </w:r>
      <w:r>
        <w:rPr>
          <w:rFonts w:ascii="Times New Roman"/>
          <w:b w:val="false"/>
          <w:i w:val="false"/>
          <w:color w:val="000000"/>
          <w:sz w:val="28"/>
          <w:u w:val="single"/>
        </w:rPr>
        <w:t>
долгу
</w:t>
      </w:r>
      <w:r>
        <w:rPr>
          <w:rFonts w:ascii="Times New Roman"/>
          <w:b w:val="false"/>
          <w:i w:val="false"/>
          <w:color w:val="000000"/>
          <w:sz w:val="28"/>
        </w:rPr>
        <w:t>
                            (
</w:t>
      </w:r>
      <w:r>
        <w:rPr>
          <w:rFonts w:ascii="Times New Roman"/>
          <w:b w:val="false"/>
          <w:i w:val="false"/>
          <w:color w:val="000000"/>
          <w:sz w:val="28"/>
          <w:u w:val="single"/>
        </w:rPr>
        <w:t>
в долл. США
</w:t>
      </w:r>
      <w:r>
        <w:rPr>
          <w:rFonts w:ascii="Times New Roman"/>
          <w:b w:val="false"/>
          <w:i w:val="false"/>
          <w:color w:val="000000"/>
          <w:sz w:val="28"/>
        </w:rPr>
        <w:t>
)
</w:t>
      </w:r>
    </w:p>
    <w:p>
      <w:pPr>
        <w:spacing w:after="0"/>
        <w:ind w:left="0"/>
        <w:jc w:val="both"/>
      </w:pPr>
      <w:r>
        <w:rPr>
          <w:rFonts w:ascii="Times New Roman"/>
          <w:b w:val="false"/>
          <w:i w:val="false"/>
          <w:color w:val="000000"/>
          <w:sz w:val="28"/>
        </w:rPr>
        <w:t>
Каждого 15 января и 15 июля
</w:t>
      </w:r>
    </w:p>
    <w:p>
      <w:pPr>
        <w:spacing w:after="0"/>
        <w:ind w:left="0"/>
        <w:jc w:val="both"/>
      </w:pPr>
      <w:r>
        <w:rPr>
          <w:rFonts w:ascii="Times New Roman"/>
          <w:b w:val="false"/>
          <w:i w:val="false"/>
          <w:color w:val="000000"/>
          <w:sz w:val="28"/>
        </w:rPr>
        <w:t>
      Начиная с 15 июля 2013 г.
</w:t>
      </w:r>
      <w:r>
        <w:br/>
      </w:r>
      <w:r>
        <w:rPr>
          <w:rFonts w:ascii="Times New Roman"/>
          <w:b w:val="false"/>
          <w:i w:val="false"/>
          <w:color w:val="000000"/>
          <w:sz w:val="28"/>
        </w:rPr>
        <w:t>
      По 15 января 2023 г.                    670 000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"Категория" - категория, обозначенная в таблице Раздела IV Приложения 2 к настоящему Соглашению.
</w:t>
      </w:r>
      <w:r>
        <w:br/>
      </w:r>
      <w:r>
        <w:rPr>
          <w:rFonts w:ascii="Times New Roman"/>
          <w:b w:val="false"/>
          <w:i w:val="false"/>
          <w:color w:val="000000"/>
          <w:sz w:val="28"/>
        </w:rPr>
        <w:t>
      2. "Руководство по консультантам"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3. "ПУОС" - план управления окружающей средой от 5 ноября 2007 года, принятый Заемщиком, приемлемый для Банка, где описаны правила, инструкции и процедуры оценки воздействия на окружающую среду и где определяются меры для снижения, смягчения или компенсирования неблагоприятного воздействия на окружающую среду и повышения положительного влияния мер, поддерживаемых в рамках Проекта, а также инвестиций, которые будут выполнены в рамках Проекта, в том числе согласно Части 1 (b) Проекта; с согласия Банка в ПУОС время от времени могут вноситься поправки.
</w:t>
      </w:r>
      <w:r>
        <w:br/>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br/>
      </w:r>
      <w:r>
        <w:rPr>
          <w:rFonts w:ascii="Times New Roman"/>
          <w:b w:val="false"/>
          <w:i w:val="false"/>
          <w:color w:val="000000"/>
          <w:sz w:val="28"/>
        </w:rPr>
        <w:t>
      5. "МЦМ" - Международный центр материаловедения, который должен быть создан МОН согласно Части 1(c) Проекта, в качестве лабораторного комплекса мирового класса в соответствии с требованиями, критериями, организационными механизмами и операционными процедурами, указанными в Руководстве по реализации проекта.
</w:t>
      </w:r>
      <w:r>
        <w:br/>
      </w:r>
      <w:r>
        <w:rPr>
          <w:rFonts w:ascii="Times New Roman"/>
          <w:b w:val="false"/>
          <w:i w:val="false"/>
          <w:color w:val="000000"/>
          <w:sz w:val="28"/>
        </w:rPr>
        <w:t>
      6. "МСНК" - Международный совет по науке и коммерциализации, который должен быть создан при МОН согласно Части 1(a) Приложения 1 к настоящему Соглашению в соответствии с требованиями, критериями, организационными механизмами и операционными процедурами, указанными в Руководстве по реализации проекта, и в который должны входить семь (7) человек, в том числе пять (5) известных ученых и два (2) эксперта по вопросам коммерциализации, приемлемым образом для Банка.
</w:t>
      </w:r>
      <w:r>
        <w:br/>
      </w:r>
      <w:r>
        <w:rPr>
          <w:rFonts w:ascii="Times New Roman"/>
          <w:b w:val="false"/>
          <w:i w:val="false"/>
          <w:color w:val="000000"/>
          <w:sz w:val="28"/>
        </w:rPr>
        <w:t>
      7. "Группа младших научных сотрудников" или "ГМНС" - объединенная группа молодых ученых-исследователей, являющихся бенефициарами Соглашения о Гранте ГМНС, отобранных в соответствии с критериями и процедурами, указанными в Руководстве по реализации проекта, причем "ГМНС" может означать более одной ГМНС.
</w:t>
      </w:r>
      <w:r>
        <w:br/>
      </w:r>
      <w:r>
        <w:rPr>
          <w:rFonts w:ascii="Times New Roman"/>
          <w:b w:val="false"/>
          <w:i w:val="false"/>
          <w:color w:val="000000"/>
          <w:sz w:val="28"/>
        </w:rPr>
        <w:t>
      8. "Грант ГМНС" - грант, предоставляемый Заемщиком ГМНС согласно Части 1(b) Проекта в соответствии с Соглашением о Гранте ГМНС, а "Гранты ГМНС" означают более одного такого гранта.
</w:t>
      </w:r>
      <w:r>
        <w:br/>
      </w:r>
      <w:r>
        <w:rPr>
          <w:rFonts w:ascii="Times New Roman"/>
          <w:b w:val="false"/>
          <w:i w:val="false"/>
          <w:color w:val="000000"/>
          <w:sz w:val="28"/>
        </w:rPr>
        <w:t>
      9. "Соглашение о Гранте ГМНС" - соглашение, заключаемое между Заемщиком и ГМНС, на которое указывается ссылка в Части В. 2 Раздела I Приложения 2 к настоящему Соглашению, на условиях, утвержденных Банком.
</w:t>
      </w:r>
      <w:r>
        <w:br/>
      </w:r>
      <w:r>
        <w:rPr>
          <w:rFonts w:ascii="Times New Roman"/>
          <w:b w:val="false"/>
          <w:i w:val="false"/>
          <w:color w:val="000000"/>
          <w:sz w:val="28"/>
        </w:rPr>
        <w:t>
      10. "МОН" означает Министерство образования и науки Заемщика или любого его правопреемника или правопреемников.
</w:t>
      </w:r>
      <w:r>
        <w:br/>
      </w:r>
      <w:r>
        <w:rPr>
          <w:rFonts w:ascii="Times New Roman"/>
          <w:b w:val="false"/>
          <w:i w:val="false"/>
          <w:color w:val="000000"/>
          <w:sz w:val="28"/>
        </w:rPr>
        <w:t>
      11. "Руководство по реализации" - руководство по реализации проекта, приемлемое для Банка, и которое будет применяться Заемщиком согласно Части А. 5 Раздела I Приложения 2 к настоящему Соглашению, где описаны процедуры реализации Проекта, не противоречащие положениям настоящего Соглашения, местным законодательным и нормативно-правовым актам Заемщика, и включающие, кроме всего прочего: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и (iii) условия отбора, экспертизы, оценки и реализации Грантов ГСНС и Грантов ГМНС; с согласия Банка в Руководство время от времени могут вноситься поправки.
</w:t>
      </w:r>
      <w:r>
        <w:br/>
      </w:r>
      <w:r>
        <w:rPr>
          <w:rFonts w:ascii="Times New Roman"/>
          <w:b w:val="false"/>
          <w:i w:val="false"/>
          <w:color w:val="000000"/>
          <w:sz w:val="28"/>
        </w:rPr>
        <w:t>
      12. "ГУП" - Группа управления проектом при МОН, ответственная за реализацию Проекта, в состав которой будут входить следующие работники, квалификации и технические задания которых будут удовлетворительны для Банка: (i) специалист по вопросам управления финансами; (ii) специалист по вопросам закупок; причем все специалисты будут подотчетны (iii) директору.
</w:t>
      </w:r>
      <w:r>
        <w:br/>
      </w:r>
      <w:r>
        <w:rPr>
          <w:rFonts w:ascii="Times New Roman"/>
          <w:b w:val="false"/>
          <w:i w:val="false"/>
          <w:color w:val="000000"/>
          <w:sz w:val="28"/>
        </w:rPr>
        <w:t>
      13. "Руководство по закупкам" - Руководство "Закупки в рамках займов МБРР и кредитов MAP", опубликованное Банком в мае 2004 года.
</w:t>
      </w:r>
      <w:r>
        <w:br/>
      </w:r>
      <w:r>
        <w:rPr>
          <w:rFonts w:ascii="Times New Roman"/>
          <w:b w:val="false"/>
          <w:i w:val="false"/>
          <w:color w:val="000000"/>
          <w:sz w:val="28"/>
        </w:rPr>
        <w:t>
      14. "План закупок" - план закупок Заемщика для Проекта от 7 декабря 2007 г.,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br/>
      </w:r>
      <w:r>
        <w:rPr>
          <w:rFonts w:ascii="Times New Roman"/>
          <w:b w:val="false"/>
          <w:i w:val="false"/>
          <w:color w:val="000000"/>
          <w:sz w:val="28"/>
        </w:rPr>
        <w:t>
      15. "Группа старших научных сотрудников" или "ГСНС" - объединенная группа старших научных сотрудников, являющихся бенефициарами Соглашения о Гранте ГСНС, отобранных в соответствии с критериями и процедурами, указанными в Руководстве по реализации проекта, причем "ГСНС" может означать более одной ГСНС.
</w:t>
      </w:r>
      <w:r>
        <w:br/>
      </w:r>
      <w:r>
        <w:rPr>
          <w:rFonts w:ascii="Times New Roman"/>
          <w:b w:val="false"/>
          <w:i w:val="false"/>
          <w:color w:val="000000"/>
          <w:sz w:val="28"/>
        </w:rPr>
        <w:t>
      16. "Грант ГСНС" - грант, предоставляемый Заемщиком ГСНС согласно Части 1(b) Проекта в соответствии с Соглашением о Гранте ГСНС, и "Гранты ГСНС" означают более одного такого гранта.
</w:t>
      </w:r>
      <w:r>
        <w:br/>
      </w:r>
      <w:r>
        <w:rPr>
          <w:rFonts w:ascii="Times New Roman"/>
          <w:b w:val="false"/>
          <w:i w:val="false"/>
          <w:color w:val="000000"/>
          <w:sz w:val="28"/>
        </w:rPr>
        <w:t>
      17. "Соглашение о Гранте ГСНС" - соглашение, заключаемое между Заемщиком и ГСНС, на которое указывается ссылка в Части В. 2 Раздела I Приложения 2 к настоящему Соглашению, на условиях, утвержденных Банком.
</w:t>
      </w:r>
      <w:r>
        <w:br/>
      </w:r>
      <w:r>
        <w:rPr>
          <w:rFonts w:ascii="Times New Roman"/>
          <w:b w:val="false"/>
          <w:i w:val="false"/>
          <w:color w:val="000000"/>
          <w:sz w:val="28"/>
        </w:rPr>
        <w:t>
      18. "Подпроект(ы)" - подпроект(ы), отобранный(-ые), оцененный(-ые) и реализованный(-ые) в соответствии с принципами и процедурами, указанными в Руководстве по реализации проекта, Руководстве по закупкам и ПУОС.
</w:t>
      </w:r>
      <w:r>
        <w:br/>
      </w:r>
      <w:r>
        <w:rPr>
          <w:rFonts w:ascii="Times New Roman"/>
          <w:b w:val="false"/>
          <w:i w:val="false"/>
          <w:color w:val="000000"/>
          <w:sz w:val="28"/>
        </w:rPr>
        <w:t>
      19. "ОКТ" - Офис коммерциализации технологий при МОН, ответственный, среди прочего, за разработку стратегии коммерциализации технологий, проведение проверки технологий, разработку и реализацию программ-грантов, финансируемых Заемщиком, и обучение в соответствии с критериями и процедурами, указанными в Руководстве по реализации проекта.
</w:t>
      </w:r>
      <w:r>
        <w:br/>
      </w:r>
      <w:r>
        <w:rPr>
          <w:rFonts w:ascii="Times New Roman"/>
          <w:b w:val="false"/>
          <w:i w:val="false"/>
          <w:color w:val="000000"/>
          <w:sz w:val="28"/>
        </w:rPr>
        <w:t>
      20. "Тенге" - законная валюта Заемщика.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Поправки к Общим условиям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Внесены следующие поправки к Общим условиям:
</w:t>
      </w:r>
      <w:r>
        <w:br/>
      </w:r>
      <w:r>
        <w:rPr>
          <w:rFonts w:ascii="Times New Roman"/>
          <w:b w:val="false"/>
          <w:i w:val="false"/>
          <w:color w:val="000000"/>
          <w:sz w:val="28"/>
        </w:rPr>
        <w:t>
      1. Раздел 3.01 звучит следующим образом:
</w:t>
      </w:r>
      <w:r>
        <w:br/>
      </w:r>
      <w:r>
        <w:rPr>
          <w:rFonts w:ascii="Times New Roman"/>
          <w:b w:val="false"/>
          <w:i w:val="false"/>
          <w:color w:val="000000"/>
          <w:sz w:val="28"/>
        </w:rPr>
        <w:t>
      "Раздел 3.01. 
</w:t>
      </w:r>
      <w:r>
        <w:rPr>
          <w:rFonts w:ascii="Times New Roman"/>
          <w:b w:val="false"/>
          <w:i/>
          <w:color w:val="000000"/>
          <w:sz w:val="28"/>
        </w:rPr>
        <w:t>
Комиссия за резервирование средств займа
</w:t>
      </w:r>
      <w:r>
        <w:rPr>
          <w:rFonts w:ascii="Times New Roman"/>
          <w:b w:val="false"/>
          <w:i w:val="false"/>
          <w:color w:val="000000"/>
          <w:sz w:val="28"/>
        </w:rPr>
        <w:t>
. Заемщик обязуется выплатить Банку комиссию за резервирование суммы Займа по ставке, указанной в Соглашении о Займе ("Комиссия за резервирование средств займа").
</w:t>
      </w:r>
      <w:r>
        <w:br/>
      </w:r>
      <w:r>
        <w:rPr>
          <w:rFonts w:ascii="Times New Roman"/>
          <w:b w:val="false"/>
          <w:i w:val="false"/>
          <w:color w:val="000000"/>
          <w:sz w:val="28"/>
        </w:rPr>
        <w:t>
      2. В Раздел 3.02 
</w:t>
      </w:r>
      <w:r>
        <w:rPr>
          <w:rFonts w:ascii="Times New Roman"/>
          <w:b w:val="false"/>
          <w:i/>
          <w:color w:val="000000"/>
          <w:sz w:val="28"/>
        </w:rPr>
        <w:t>
"Вознаграждение"
</w:t>
      </w:r>
      <w:r>
        <w:rPr>
          <w:rFonts w:ascii="Times New Roman"/>
          <w:b w:val="false"/>
          <w:i w:val="false"/>
          <w:color w:val="000000"/>
          <w:sz w:val="28"/>
        </w:rPr>
        <w:t>
 включен новый пункт (d), который будет звучать следующим образом:
</w:t>
      </w:r>
      <w:r>
        <w:br/>
      </w:r>
      <w:r>
        <w:rPr>
          <w:rFonts w:ascii="Times New Roman"/>
          <w:b w:val="false"/>
          <w:i w:val="false"/>
          <w:color w:val="000000"/>
          <w:sz w:val="28"/>
        </w:rPr>
        <w:t>
      "(d) Вне зависимости от положений пункта (а) данного Раздела, если любая сумма Снятого остатка займа не будет своевременно оплачена и платеж будет просрочен на тридцать дней, Заемщик должен будет выплачивать процентную ставку за просроченный платеж вместо процентной ставки, указанной в Соглашении о займе (или другую процентную ставку согласно Статьи IV в результате Конвертации) до тех пор, пока просроченная сумма не будет полностью выплачена. Вознаграждение по ставке за просроченный платеж будет начисляться с первого дня каждого периода начисления процентов за просроченный платеж и подлежать полугодовой оплате по задолженностям на каждую Дату Платежа".
</w:t>
      </w:r>
      <w:r>
        <w:br/>
      </w:r>
      <w:r>
        <w:rPr>
          <w:rFonts w:ascii="Times New Roman"/>
          <w:b w:val="false"/>
          <w:i w:val="false"/>
          <w:color w:val="000000"/>
          <w:sz w:val="28"/>
        </w:rPr>
        <w:t>
      3. Приложение "Определения" исправлено следующим образом:
</w:t>
      </w:r>
      <w:r>
        <w:br/>
      </w:r>
      <w:r>
        <w:rPr>
          <w:rFonts w:ascii="Times New Roman"/>
          <w:b w:val="false"/>
          <w:i w:val="false"/>
          <w:color w:val="000000"/>
          <w:sz w:val="28"/>
        </w:rPr>
        <w:t>
      (a) 
</w:t>
      </w:r>
      <w:r>
        <w:rPr>
          <w:rFonts w:ascii="Times New Roman"/>
          <w:b w:val="false"/>
          <w:i w:val="false"/>
          <w:color w:val="000000"/>
          <w:sz w:val="28"/>
          <w:u w:val="single"/>
        </w:rPr>
        <w:t>
Пункт 19 "Комиссия за обязательство" удален,
</w:t>
      </w:r>
      <w:r>
        <w:rPr>
          <w:rFonts w:ascii="Times New Roman"/>
          <w:b w:val="false"/>
          <w:i w:val="false"/>
          <w:color w:val="000000"/>
          <w:sz w:val="28"/>
        </w:rPr>
        <w:t>
 и последующие параграфы будут пронумерованы соответственно.
</w:t>
      </w:r>
      <w:r>
        <w:br/>
      </w:r>
      <w:r>
        <w:rPr>
          <w:rFonts w:ascii="Times New Roman"/>
          <w:b w:val="false"/>
          <w:i w:val="false"/>
          <w:color w:val="000000"/>
          <w:sz w:val="28"/>
        </w:rPr>
        <w:t>
      (b) 
</w:t>
      </w:r>
      <w:r>
        <w:rPr>
          <w:rFonts w:ascii="Times New Roman"/>
          <w:b w:val="false"/>
          <w:i w:val="false"/>
          <w:color w:val="000000"/>
          <w:sz w:val="28"/>
          <w:u w:val="single"/>
        </w:rPr>
        <w:t>
В Приложение добавлены новые пункты 27, 28, 29 и 30
</w:t>
      </w:r>
      <w:r>
        <w:rPr>
          <w:rFonts w:ascii="Times New Roman"/>
          <w:b w:val="false"/>
          <w:i w:val="false"/>
          <w:color w:val="000000"/>
          <w:sz w:val="28"/>
        </w:rPr>
        <w:t>
:
</w:t>
      </w:r>
      <w:r>
        <w:br/>
      </w:r>
      <w:r>
        <w:rPr>
          <w:rFonts w:ascii="Times New Roman"/>
          <w:b w:val="false"/>
          <w:i w:val="false"/>
          <w:color w:val="000000"/>
          <w:sz w:val="28"/>
        </w:rPr>
        <w:t>
      "27. "Период начисления процентов за просроченный платеж" рассчитывается на каждую просроченную сумму снятого остатка займа, каждый период начисления процентов, во время которого такая просроченная сумма остается невыплаченной; тем не менее при условии, что первый период начисления процентов за просроченный платеж начнется 31 числа после той даты, когда платеж будет просрочен, и последний период начисления процентов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28. "Процентная ставка за просроченный платеж" рассчитывается на каждый период начисления процентов за просроченный платеж:
</w:t>
      </w:r>
      <w:r>
        <w:br/>
      </w:r>
      <w:r>
        <w:rPr>
          <w:rFonts w:ascii="Times New Roman"/>
          <w:b w:val="false"/>
          <w:i w:val="false"/>
          <w:color w:val="000000"/>
          <w:sz w:val="28"/>
        </w:rPr>
        <w:t>
      (a) в случае Займа с переменным спредом: штрафная ставка ЛИБОР плюс переменный спред плюс половина одного процента (0,5%);
</w:t>
      </w:r>
      <w:r>
        <w:br/>
      </w:r>
      <w:r>
        <w:rPr>
          <w:rFonts w:ascii="Times New Roman"/>
          <w:b w:val="false"/>
          <w:i w:val="false"/>
          <w:color w:val="000000"/>
          <w:sz w:val="28"/>
        </w:rPr>
        <w:t>
      (b) в случае Займа с фиксированным спредом, для которого процент на сумму Снятого остатка займа - к которому относится период начисления процентов за просроченный платеж - должен был быть оплачен по переменной ставке процента незамедлительно до применения процентной ставки за просроченный платеж: штрафная переменная ставка плюс половина одного процента (0,5%); и
</w:t>
      </w:r>
      <w:r>
        <w:br/>
      </w:r>
      <w:r>
        <w:rPr>
          <w:rFonts w:ascii="Times New Roman"/>
          <w:b w:val="false"/>
          <w:i w:val="false"/>
          <w:color w:val="000000"/>
          <w:sz w:val="28"/>
        </w:rPr>
        <w:t>
      (c) в случае Займа с фиксированным спредом, для которого процент на сумму остатка займа - к которому относится период начисления процентов за просроченный платеж - должен был быть оплачен по фиксированной ставке процента незамедлительно до применения процентной ставки за просроченный платеж: штрафная ставка ЛИБОР плюс фиксированный спред плюс половина одного процента (0,5%)".
</w:t>
      </w:r>
      <w:r>
        <w:br/>
      </w:r>
      <w:r>
        <w:rPr>
          <w:rFonts w:ascii="Times New Roman"/>
          <w:b w:val="false"/>
          <w:i w:val="false"/>
          <w:color w:val="000000"/>
          <w:sz w:val="28"/>
        </w:rPr>
        <w:t>
      29. "Штрафная ставка ЛИБОР" означает ЛИБОР для соответствующего периода начисления процентов; под этим подразумевается, что для начального периода начисления процентов за просроченный платеж, штрафная ставка ЛИБОР будет равна ставке ЛИБОР за период начисления процентов, в котором сумма, указанная в пункте (d) Раздела 3.02, была просрочена первый раз.
</w:t>
      </w:r>
      <w:r>
        <w:br/>
      </w:r>
      <w:r>
        <w:rPr>
          <w:rFonts w:ascii="Times New Roman"/>
          <w:b w:val="false"/>
          <w:i w:val="false"/>
          <w:color w:val="000000"/>
          <w:sz w:val="28"/>
        </w:rPr>
        <w:t>
      30. "Штрафная переменная ставка" означает переменную ставку процента за соответствующий период начисления процентов; под этим подразумевается, что для начального периода начисления процентов за просроченный платеж, штрафная переменная ставка процента будет равна переменной ставке процента за период начисления процентов, в котором сумма указанная в пункте (d) Раздела 3.02, была просрочена первый раз".
</w:t>
      </w:r>
      <w:r>
        <w:br/>
      </w:r>
      <w:r>
        <w:rPr>
          <w:rFonts w:ascii="Times New Roman"/>
          <w:b w:val="false"/>
          <w:i w:val="false"/>
          <w:color w:val="000000"/>
          <w:sz w:val="28"/>
        </w:rPr>
        <w:t>
      (с) 
</w:t>
      </w:r>
      <w:r>
        <w:rPr>
          <w:rFonts w:ascii="Times New Roman"/>
          <w:b w:val="false"/>
          <w:i w:val="false"/>
          <w:color w:val="000000"/>
          <w:sz w:val="28"/>
          <w:u w:val="single"/>
        </w:rPr>
        <w:t>
Пункт 43 "Фиксированный спред"
</w:t>
      </w:r>
      <w:r>
        <w:rPr>
          <w:rFonts w:ascii="Times New Roman"/>
          <w:b w:val="false"/>
          <w:i w:val="false"/>
          <w:color w:val="000000"/>
          <w:sz w:val="28"/>
        </w:rPr>
        <w:t>
 (в соответствии с измененной нумерацией) изменен следующим образом:
</w:t>
      </w:r>
      <w:r>
        <w:br/>
      </w:r>
      <w:r>
        <w:rPr>
          <w:rFonts w:ascii="Times New Roman"/>
          <w:b w:val="false"/>
          <w:i w:val="false"/>
          <w:color w:val="000000"/>
          <w:sz w:val="28"/>
        </w:rPr>
        <w:t>
      "43. "Фиксированный спред" означает фиксированный спред Банка для первоначальной валюты Займа, действующий с 12:01 часов дня времени Вашингтона, Округ Колумбия, за один календарный день до даты заключения Соглашения о Займе; при условии, что при конвертации валюты всей или любой части неснятого остатка Займа такой фиксированный спред будет скорректирован на Дату исполнения в порядке, указанном в Руководстве по конвертации; и при условии, что несмотря на вышесказанное, в целях определения процентной ставки за просроченный платеж, применимой к снятому остатку займа, на которую проценты начисляются по фиксированной ставке, "Фиксированный спред" означает фиксированный спред Банка, действующий с 12:01 часов дня времени Вашингтона, Округ Колумбия, за один календарный день до даты заключения Соглашения о Займе для деноминации валюты такой суммы".
</w:t>
      </w:r>
      <w:r>
        <w:br/>
      </w:r>
      <w:r>
        <w:rPr>
          <w:rFonts w:ascii="Times New Roman"/>
          <w:b w:val="false"/>
          <w:i w:val="false"/>
          <w:color w:val="000000"/>
          <w:sz w:val="28"/>
        </w:rPr>
        <w:t>
      (d) 
</w:t>
      </w:r>
      <w:r>
        <w:rPr>
          <w:rFonts w:ascii="Times New Roman"/>
          <w:b w:val="false"/>
          <w:i w:val="false"/>
          <w:color w:val="000000"/>
          <w:sz w:val="28"/>
          <w:u w:val="single"/>
        </w:rPr>
        <w:t>
Пункт 56 "Дата изменения ставки ЛИБОР"
</w:t>
      </w:r>
      <w:r>
        <w:rPr>
          <w:rFonts w:ascii="Times New Roman"/>
          <w:b w:val="false"/>
          <w:i w:val="false"/>
          <w:color w:val="000000"/>
          <w:sz w:val="28"/>
        </w:rPr>
        <w:t>
 (в соответствии с измененной нумерацией) изменена следующим образом:
</w:t>
      </w:r>
      <w:r>
        <w:br/>
      </w:r>
      <w:r>
        <w:rPr>
          <w:rFonts w:ascii="Times New Roman"/>
          <w:b w:val="false"/>
          <w:i w:val="false"/>
          <w:color w:val="000000"/>
          <w:sz w:val="28"/>
        </w:rPr>
        <w:t>
      "56. "Дата изменения ставки ЛИБОР" означает: (а) для любой валюты Займа, кроме Евро, день за два рабочих банковских дня в Лондоне до первого дня соответствующего периода начисления процентов (или: (i) в случае начального периода начисления процентов по Займу с фиксированным спредом, день за два рабочих банковских дня в Лондоне до пятнадцатого числа месяца, предшествующего месяцу, в котором подписывается Соглашение о Займе; при условии, что, если дата подписания Соглашения о Займе выпадает на пятнадцатое число месяца или после пятнадцатого числа месяца, в котором подписывается Соглашение о Займе, Датой изменения ставки ЛИБОР будет являться день за два рабочих банковских дня в Лондоне до пятнадцатого числа этого месяца; (ii) в случае начального периода начисления процентов по Займу с фиксированным спредом, день за два рабочих банковских дня в Лондоне до первого или пятнадцатого числа месяца, в котором подписывается Соглашение о Займе, в зависимости от того, какое число непосредственно предшествует дате подписания Соглашения о Займе; при условии, что, если дата подписания Соглашения о Займе выпадает на первое или пятнадцатое число этого месяца, Датой изменения ставки ЛИБОР будет являться день за два рабочих банковских дня в Лондоне до даты подписания Соглашения о Займе; и (iii) если Дата конвертации валюты в размере неснятого остатка Займа в любую утвержденную валюту, кроме Евро, выпадает на день, не являющийся Датой платежа, Датой изменения начальной ставки ЛИБОР для утвержденной валюты будет являться день за два рабочих банковских дня в Лондоне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что, если Дата конвертации выпадает на первое или пятнадцатое число этого месяца, Датой изменения ставки ЛИБОР для утвержденной валюты будет являться день за два рабочих банковских дня в Лондоне до Даты конвертации); (b) для Евро, день за две целевые даты платежа до первого числа соответствующего периода начисления процентов (или: (i) в случае начального периода начисления процентов по Займу с фиксированным спредом, день за две целевые даты платежа до пятнадцатого числа месяца, предшествующего месяцу, в котором подписывается Соглашение о Займе; при условии, что, если дата подписания Соглашения о Займе выпадает на пятнадцатое число месяца или после пятнадцатого числа месяца, в котором подписывается Соглашение о Займе, Датой изменения ставки ЛИБОР будет являться день за две целевые даты платежа до пятнадцатого числа этого месяца; (ii) в случае начального периода начисления процентов по Займу с фиксированным спредом, день за две целевые даты платежа до первого или пятнадцатого числа месяца, в котором подписывается Соглашение о Займе, в зависимости от того, какой день непосредственно предшествует дате подписания Соглашения о Займе; при условии, что, если дата подписания Соглашения о Займе выпадает на первое или пятнадцатое число этого месяца, Датой изменения ставки ЛИБОР будет являться день за две целевые даты платежа до даты подписания Соглашения о Займе; и (iii) если Дата конвертации валюты в размере неснятого остатка Займа в Евро выпадает на день, не являющийся Датой платежа, Датой изменения начальной ставки ЛИБОР для утвержденной валюты будет являться день за две целевые даты платежа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что если Дата конвертации выпадает на первое или пятнадцатое число этого месяца, Датой изменения ставки ЛИБОР для утвержденной валюты будет являться день за две целевые даты платежа до Даты конвертации); и (с) независимо от подпунктов (а) и (b) настоящего пункта, если, в отношении Конвертации валюты в утвержденную валюту, Банк определяет, что согласно опыту рынка по определению Даты изменения ставки ЛИБОР, приходится на день, не являющийся днем, указанным в оговоренных подпунктах, Датой изменения ставки ЛИБОР будет та другая дата, которая указана далее в Руководстве по конвертации".
</w:t>
      </w:r>
      <w:r>
        <w:br/>
      </w:r>
      <w:r>
        <w:rPr>
          <w:rFonts w:ascii="Times New Roman"/>
          <w:b w:val="false"/>
          <w:i w:val="false"/>
          <w:color w:val="000000"/>
          <w:sz w:val="28"/>
        </w:rPr>
        <w:t>
      (e) 
</w:t>
      </w:r>
      <w:r>
        <w:rPr>
          <w:rFonts w:ascii="Times New Roman"/>
          <w:b w:val="false"/>
          <w:i w:val="false"/>
          <w:color w:val="000000"/>
          <w:sz w:val="28"/>
          <w:u w:val="single"/>
        </w:rPr>
        <w:t>
Пункт 66 "Выплата займа"
</w:t>
      </w:r>
      <w:r>
        <w:rPr>
          <w:rFonts w:ascii="Times New Roman"/>
          <w:b w:val="false"/>
          <w:i w:val="false"/>
          <w:color w:val="000000"/>
          <w:sz w:val="28"/>
        </w:rPr>
        <w:t>
 (в соответствии с измененной нумерацией) изменен следующим образом:
</w:t>
      </w:r>
      <w:r>
        <w:br/>
      </w:r>
      <w:r>
        <w:rPr>
          <w:rFonts w:ascii="Times New Roman"/>
          <w:b w:val="false"/>
          <w:i w:val="false"/>
          <w:color w:val="000000"/>
          <w:sz w:val="28"/>
        </w:rPr>
        <w:t>
      "66. "Выплата займа" означает любую сумму, подлежащую к выплате Банку Сторонами Соглашения о Займе согласно юридических соглашений или настоящих Общих Условий, включая (но не ограничиваясь) любой суммой Снятого остатка займа, проценты, комиссию за резервирование средств, вознаграждение по ставке за просроченный платеж (при наличии), любые вознаграждения за досрочный платеж, любые транзакционные платежи за конвертацию валюты или завершение конвертации, любые вознаграждения, выплачиваемые по установке фиксированного максимума процентной ставки или фиксированного минимума процентной ставки, а также любые рассроченные суммы, подлежащие оплате Заемщиком".
</w:t>
      </w:r>
      <w:r>
        <w:br/>
      </w:r>
      <w:r>
        <w:rPr>
          <w:rFonts w:ascii="Times New Roman"/>
          <w:b w:val="false"/>
          <w:i w:val="false"/>
          <w:color w:val="000000"/>
          <w:sz w:val="28"/>
        </w:rPr>
        <w:t>
      (f) 
</w:t>
      </w:r>
      <w:r>
        <w:rPr>
          <w:rFonts w:ascii="Times New Roman"/>
          <w:b w:val="false"/>
          <w:i w:val="false"/>
          <w:color w:val="000000"/>
          <w:sz w:val="28"/>
          <w:u w:val="single"/>
        </w:rPr>
        <w:t>
Пункт 71 "Дата платежа"
</w:t>
      </w:r>
      <w:r>
        <w:rPr>
          <w:rFonts w:ascii="Times New Roman"/>
          <w:b w:val="false"/>
          <w:i w:val="false"/>
          <w:color w:val="000000"/>
          <w:sz w:val="28"/>
        </w:rPr>
        <w:t>
 (в соответствии с измененной нумерацией) изменена следующим образом:
</w:t>
      </w:r>
      <w:r>
        <w:br/>
      </w:r>
      <w:r>
        <w:rPr>
          <w:rFonts w:ascii="Times New Roman"/>
          <w:b w:val="false"/>
          <w:i w:val="false"/>
          <w:color w:val="000000"/>
          <w:sz w:val="28"/>
        </w:rPr>
        <w:t>
      "71. "Дата платежа" означает каждую дату, указанную в Соглашении о Займе - в день или после даты Соглашения о Займе, в который должно быть оплачено вознаграждение".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