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6dc3" w14:textId="35f6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нормативное постановление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преступления, совершенные в соучастии"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2008 года № 15.</w:t>
      </w:r>
    </w:p>
    <w:p>
      <w:pPr>
        <w:spacing w:after="0"/>
        <w:ind w:left="0"/>
        <w:jc w:val="both"/>
      </w:pPr>
      <w:r>
        <w:rPr>
          <w:rFonts w:ascii="Times New Roman"/>
          <w:b w:val="false"/>
          <w:i w:val="false"/>
          <w:color w:val="000000"/>
          <w:sz w:val="28"/>
        </w:rPr>
        <w:t xml:space="preserve">
      В целях обеспечения единообразной судебной практики по вопросам, возникшим в сфере применения законодательства об ответственности за преступления, совершенные в соучастии, пленарное заседание Верховного Суда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нормативное постановление </w:t>
      </w:r>
      <w:r>
        <w:rPr>
          <w:rFonts w:ascii="Times New Roman"/>
          <w:b w:val="false"/>
          <w:i w:val="false"/>
          <w:color w:val="000000"/>
          <w:sz w:val="28"/>
        </w:rPr>
        <w:t xml:space="preserve">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преступления, совершенные в соучастии" следующее изменение: </w:t>
      </w:r>
    </w:p>
    <w:bookmarkEnd w:id="0"/>
    <w:bookmarkStart w:name="z2" w:id="1"/>
    <w:p>
      <w:pPr>
        <w:spacing w:after="0"/>
        <w:ind w:left="0"/>
        <w:jc w:val="both"/>
      </w:pPr>
      <w:r>
        <w:rPr>
          <w:rFonts w:ascii="Times New Roman"/>
          <w:b w:val="false"/>
          <w:i w:val="false"/>
          <w:color w:val="000000"/>
          <w:sz w:val="28"/>
        </w:rPr>
        <w:t xml:space="preserve">
      пункт 3 изложить в следующей редакции: </w:t>
      </w:r>
    </w:p>
    <w:bookmarkEnd w:id="1"/>
    <w:p>
      <w:pPr>
        <w:spacing w:after="0"/>
        <w:ind w:left="0"/>
        <w:jc w:val="both"/>
      </w:pPr>
      <w:r>
        <w:rPr>
          <w:rFonts w:ascii="Times New Roman"/>
          <w:b w:val="false"/>
          <w:i w:val="false"/>
          <w:color w:val="000000"/>
          <w:sz w:val="28"/>
        </w:rPr>
        <w:t xml:space="preserve">
      "3. Давая правовую оценку действиям виновных, как преступлению, совершенному при наличии квалифицирующих признаков "группой лиц", "группой лиц по предварительному сговору", "организованной группой", необходимо исходить из требований, предусмотренных статьей 31 УК. </w:t>
      </w:r>
    </w:p>
    <w:p>
      <w:pPr>
        <w:spacing w:after="0"/>
        <w:ind w:left="0"/>
        <w:jc w:val="both"/>
      </w:pPr>
      <w:r>
        <w:rPr>
          <w:rFonts w:ascii="Times New Roman"/>
          <w:b w:val="false"/>
          <w:i w:val="false"/>
          <w:color w:val="000000"/>
          <w:sz w:val="28"/>
        </w:rPr>
        <w:t xml:space="preserve">
      Квалифицирующие признаки совершение преступления "группой лиц", "группой лиц по предварительному сговору" могут быть вменены в тех случаях, когда преступление совершено двумя и более соучастниками преступления. </w:t>
      </w:r>
    </w:p>
    <w:p>
      <w:pPr>
        <w:spacing w:after="0"/>
        <w:ind w:left="0"/>
        <w:jc w:val="both"/>
      </w:pPr>
      <w:r>
        <w:rPr>
          <w:rFonts w:ascii="Times New Roman"/>
          <w:b w:val="false"/>
          <w:i w:val="false"/>
          <w:color w:val="000000"/>
          <w:sz w:val="28"/>
        </w:rPr>
        <w:t xml:space="preserve">
      При квалификации действий виновных по признаку совершения преступления "группой лиц по предварительному сговору" необходимо выяснять, имелась ли выраженная в любой форме договоренность двух или более лиц на совершение преступления, состоялся ли сговор этих лиц до начала действий, непосредственно направленных на совершение преступления, то есть до выполнения объективной стороны состава преступления хотя бы одним исполнителем. </w:t>
      </w:r>
    </w:p>
    <w:p>
      <w:pPr>
        <w:spacing w:after="0"/>
        <w:ind w:left="0"/>
        <w:jc w:val="both"/>
      </w:pPr>
      <w:r>
        <w:rPr>
          <w:rFonts w:ascii="Times New Roman"/>
          <w:b w:val="false"/>
          <w:i w:val="false"/>
          <w:color w:val="000000"/>
          <w:sz w:val="28"/>
        </w:rPr>
        <w:t xml:space="preserve">
      Преступление квалифицируется по признаку "группой лиц по предварительному сговору" и в тех случаях, когда для его совершения объединены общие усилия двух или более лиц и действия каждого из соучастников являются необходимым условием для совершения действий других соучастников, согласно предварительному распределению ролей, и находятся в причинной связи с общим, наступившим от деятельности всех соучастников, преступным результатом. В таких случаях не обязательно участие в преступлении двух и более исполнителей, достаточно одного исполнителя при наличии других видов соучастников. </w:t>
      </w:r>
    </w:p>
    <w:p>
      <w:pPr>
        <w:spacing w:after="0"/>
        <w:ind w:left="0"/>
        <w:jc w:val="both"/>
      </w:pPr>
      <w:r>
        <w:rPr>
          <w:rFonts w:ascii="Times New Roman"/>
          <w:b w:val="false"/>
          <w:i w:val="false"/>
          <w:color w:val="000000"/>
          <w:sz w:val="28"/>
        </w:rPr>
        <w:t xml:space="preserve">
      Ответственность организатора, подстрекателя или пособника наступает по соответствующей статье УК, предусматривающей ответственность за конкретное преступление, со ссылкой на статью 28 УК, за исключением случаев, когда они одновременно являлись соисполнителями преступления. </w:t>
      </w:r>
    </w:p>
    <w:p>
      <w:pPr>
        <w:spacing w:after="0"/>
        <w:ind w:left="0"/>
        <w:jc w:val="both"/>
      </w:pPr>
      <w:r>
        <w:rPr>
          <w:rFonts w:ascii="Times New Roman"/>
          <w:b w:val="false"/>
          <w:i w:val="false"/>
          <w:color w:val="000000"/>
          <w:sz w:val="28"/>
        </w:rPr>
        <w:t xml:space="preserve">
      Лицо, которое не состояло в предварительном сговоре с другими соучастниками преступления, но в ходе его совершения другими лицами присоединилось к ним и приняло непосредственное участие, должно нести ответственность за фактически совершенные им конкретные действия как соисполнитель преступления. </w:t>
      </w:r>
    </w:p>
    <w:p>
      <w:pPr>
        <w:spacing w:after="0"/>
        <w:ind w:left="0"/>
        <w:jc w:val="both"/>
      </w:pPr>
      <w:r>
        <w:rPr>
          <w:rFonts w:ascii="Times New Roman"/>
          <w:b w:val="false"/>
          <w:i w:val="false"/>
          <w:color w:val="000000"/>
          <w:sz w:val="28"/>
        </w:rPr>
        <w:t xml:space="preserve">
      Преступление может квалифицироваться по признаку совершения организованной группой как в случае совершения этого преступления лицами, входящими в состав организованной преступной группы, так и при совершении преступления членами банды и преступного сообщества.". </w:t>
      </w:r>
    </w:p>
    <w:bookmarkStart w:name="z3" w:id="2"/>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