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fb2e" w14:textId="d3ef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2008 года № 82. Утратило силу постановлением Правительства Республики Казахстан от 15 мая 2013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2004 года N 150 "О некоторых вопросах реализации Закона Республики Казахстан "О лицензировании" (САПП Республики Казахстан, 2004 г., N 6, ст. 89) подпункт 1) пункта 1 исключить;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 подпункт 1) пункта 14 изменений и дополнений, которые вносятся в некоторые решения Правительства Республики Казахстан, исключить.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N 82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ликвидации (уничтожению,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утилизации, захоронению) и переработке высвобождаемых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боеприпасов, вооружений, военной техники, специальных средств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N 82 </w:t>
      </w:r>
    </w:p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ликвидации (уничтожению, утилизации, захоронению) и</w:t>
      </w:r>
      <w:r>
        <w:br/>
      </w:r>
      <w:r>
        <w:rPr>
          <w:rFonts w:ascii="Times New Roman"/>
          <w:b/>
          <w:i w:val="false"/>
          <w:color w:val="000000"/>
        </w:rPr>
        <w:t>
переработке высвобождаемых боеприпасов, вооружений,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техники, специальных средств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ликвидации (уничтожению, утилизации, захоронению) и переработке высвобождаемых боеприпасов,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(стационарной и (или) мобильной) на праве собственности или аренды,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 и (или) мобильный модуль контейнерного типа,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измерений, в том числе средства измерения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комплектующих деталей, изделий утилизированных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должностного лица, отвечающего за пожарную безопасность и организацию охранных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деятельности по ликвидации (уничтожению, утилизации, захоронению) и переработке высвобождаемых вооружений, военной техники, специальных средств,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должностного лица, отвечающего за пожарную безопасность и организацию охранных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