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66ba" w14:textId="c0e6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Письма-соглашения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2008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Письма-соглашения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Письма-соглашения между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Международным Банком Реконструкции и Развития о выделении гранта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финансирования проекта "Общественное управление и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устойчивой жизнедеятельности предприятий рыбного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Аральского моря"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 Республики Казахстан от 30 мая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договорах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Письма-соглашения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Есимова Ахметжана Смагуловича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сентября 2007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Г-ну Есимову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Кенесары,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Астана, 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Относительно:     
</w:t>
      </w:r>
      <w:r>
        <w:rPr>
          <w:rFonts w:ascii="Times New Roman"/>
          <w:b w:val="false"/>
          <w:i/>
          <w:color w:val="000000"/>
          <w:sz w:val="28"/>
        </w:rPr>
        <w:t>
Республика Казахстан
</w:t>
      </w:r>
      <w:r>
        <w:rPr>
          <w:rFonts w:ascii="Times New Roman"/>
          <w:b w:val="false"/>
          <w:i w:val="false"/>
          <w:color w:val="000000"/>
          <w:sz w:val="28"/>
        </w:rPr>
        <w:t>
: Грант Фонда социального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Правительстве Японии (JSDF) на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проекта общественного управления 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устойчивой жизнедеятельности предприятий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 Аральского моря       Грант N TF056801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Уважаемый г-н Министр: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рада сообщить Вам о том, что в ответ на поступившую от имени Республики Казахстан (Получатель) просьбу о предоставлении финансовой помощи, Международный Банк Реконструкции и Развития (Всемирный Банк), выступающий в качестве администратора грантовых средств, выделяемых из Фонда социального развития при Правительстве Японии (JSDF), планирует предоставить Получателю грант в размере, не превышающем одного миллиона девятисот двух тысяч двухсот восьмидесяти пяти (1902285) долларов США (Грант) на сроки и на условиях, изложенных или упоминаемых в настоящем Письме-соглашении (Соглашение) с прилагаемым Приложением, для содействия в финансировании описываемого в Приложении проекта (Проект).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ниже свое согласие, Получатель заявляет о своих полномочиях на заключение настоящего Соглашения и реализацию Проекта в соответствии со сроками и условиями, изложенными или упоминаемыми в настоящем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подтвердить Ваше согласие с вышесказанным от имени Получателя, подписав, датировав и возвратив во Всемирный Банк, прилагаемый экземпляр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получении Всемирным Банком подписанного Вами экземпляра, настоящее Соглашение обретает силу с момента проставления скрепляющей документ подписи.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искренним уважением,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и по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БАНКА РЕКОНСТРУКЦИИ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Аннет Диксон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по странам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Региональное управление по странам Европы и Центральной Азии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ПОДТВЕРЖДАЮ: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и по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Грант Фонда социального развития при Правительстве Японии (JSDF)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NTF056801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Стандартные условия;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Стандартные условия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Стандартные условия для грантов, выплачиваемых Всемирным Банком из различных фондов, в редакции от 20 июля 2006 года (Стандартные условия), составляют неотъемлемую часть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Определения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Если из контекста не следует иное, обозначенные заглавными буквами термины, используемые в настоящем Соглашении, имеют соответствующие значения, закрепленные за ними Стандартными условиями или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Реализация Проекта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2.01.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Цели и описание Проекта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Цели Проекта заключаются в улучшении жизненных условий незащищенных, изолированных рыболовецких сообществ в регионе Северного Аральского моря посредством развития местного потенциала, улучшения и обеспечения устойчивости управления существующей материальной базой, расширения предпринимательских возможностей и поддержки доступа к основным объектам и услугам социальной инфраструктуры. Данный Проект поддерживает Фазу I Проекта "Регулирование русла реки Сырдарья и Северного Аральского моря", финансируемого Всемирным Банком на основании Кредитного Соглашения (Займ N 4609 KZ) от 22 октября 2001 года между Республикой Казахстан и Международным Банком Реконструкции и Развития. Данный Проект состоит из следующих компонентов: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Часть 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Развитие потенциала для обеспечения устойчивой жизнедеятельности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посредством улучшения управления существующей материальной базой.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составление планов местного развития, включая пилотный проект по усилению общественного контроля и повышению доступности к рыбным ресурсам одного озера; (b) расширение потенциала местных органов власти в части поддержки децентрализованного управления и обеспечения прозрачности процесса предоставления малых озер в обособленное пользование; (с) обучение работников рыболовецких бригад, рыболовных предприятий и должностных лиц, местных органов власти ключевым аспектам развития сообществ и техническим предметам, включая оценку ресурсов сообщества и принципы совместного управления ресурсами, малым бизнесом, реализации рыбной продукции, утилизации отходов, обеспечения безопасности судна, ремонта судна и технического обслуживания двигателя; и (d) разработка и полевые испытания учебных материалов по обработке и реализации рыбы, обеспечению безопасности судна, ремонту судна и техническому обслуживанию двигателя, управлению малым бизнесом и микрофинансированию, а также по оценке и совместному управлению ресурсами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Часть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Местные инвестиции в улучшение жизненных условий и сокращение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деградации окружающей среды.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обеспечение отдаленных сел технической системой фильтрации воды, водоналивным судном и полноприводным автомобилем скорой помощи; (b) развитие строительства мобильных рыболовецких лагерей для улучшения состояния здоровья и бытовых условий рыболовов; (с) восстановление небольших отрезков непроходимых дорог и строительство понтонов для доставки рыбы на берег с целью расширения доступа к рынкам и увеличения пользы от грантового финансирования, а также улучшение мониторинга выгрузки рыбы на берег; (d) обеспечение радиотелефонной связью основных сел и рыболовецких лагерей, пилотное тестирование систем оборудования для обмена электронной почтой по каналам радио или спутниковой связи между тремя общинами, включая создание общинной радиопрограммы продолжительностью 1-2 часа в день; (е) пилотное тестирование эффективных дровяных печей для копчения рыбы и альтернативного отопления сел и рыболовецких лагерей (в частности, за счет использования сжиженного газа); (f) оснащение школ и детских садов оборудованием и мебелью, создание детских яслей; и (h) создание гостиниц для путешественников на железнодорожной станции Арал Тенизи в городе Аральске.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Часть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Малые предприятия для диверсификации доходов и улучшения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источников средств к существованию.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совершенствование системы распределения рыбы и модернизация существующей инфраструктуры холодильного хранения, льдогенераторов для контейнеров и крупных теплоизолированных холодильных камер для хранения рыбы, с тем, чтобы рыболовецкие бригады могли хранить рыбу в рыболовецких лагерях; (b) обучение обработке рыбы и формирование информационной службы для выдачи справок по вопросам реализации рыбы; (с) совершенствование технологии копчения (с использованием более экономичных дровяных или газовых печей) и формирование организаций по сбыту производимой продукции с целью повышения доходов и улучшения источников средств женщин реализаторов; и (d) выплата 400000 долларов США в форме конкурентных грантов (до 25000 долларов США на каждое из, ориентировочно, 16 сообществ) на развитие малого бизнеса в соответствии с критериями, принципами и процедурами отбора, излагаемыми в Операционном руководстве по Проекту (ОРП), который должен будет составить и утвердить Получатель.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Часть D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Поддержка услуг по реализации, управлению, мониторингу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оценке Проекта.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формирование потенциала и наем дополнительных сотрудников в "Арал Тенизи" - местной неправительственной организации, осуществляющей свою деятельность в регионе Аральского моря, которая будет осуществлять реализацию проектных мероприятий вместе с Группой Управления Проектом (ГУП), созданном при Комитете по водным ресурсам (КВР) Министерства сельского хозяйства Республики Казахстан в рамках Фазы I Проекта "Регулирование русла реки Сырдарья и Северного Аральского моря", финансируемого Всемирным Банком (Займ N 4609 KZ); (b) найм сельских активистов, которые будут вплотную работать с рыболовами и членами сообществ в рамках реализации проектных мероприятий; (с) обучение сотрудников "Арал Тенизи" и сельских активистов принципам управления проектом, управления ресурсами участников проекта, ведению счетов и учета, процедурам осуществления закупок на уровне села, и оценке сел с участием заинтересованных сторон; (d) разработка и реализация системы мониторинга и оценки; и (е) предоставление консультационных услуг, включая аудит Гранта.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Общие условия реализации Проекта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Получатель заявляет о своей приверженности задачам Проекта. Получатель, в рамках финансируемого Весмирным Банком Проекта "Регулирование русла реки Сырдарья и Северного Аральского моря" (Займ N 4609 KZ) через ГУП КВР Министерства сельского хозяйства Республики Казахстан, обеспечит реализацию Проекта в соответствии с положениями Статьи II Стандартных условий и настоящей Статьи 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Институциональные и иные меры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Получатель, через КВР, будет поддерживать ГУП вплоть до завершения Проекта посредством обеспечения кадрами, квалификация и компетенция которых соответствуют требованиям Всемирного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Получатель, через КВР, обеспечит: (а) чтобы ГУП отвечал за: (i) управление, реализацию, координацию и мониторинг Проекта, включая оценку и отчетность по Проекту; (ii) составление заявок на снятие средств Гранта; (iii) управление Специальным счетом Проекта; (iv) администрирование конкурентных грантов, предусматриваемых пунктом (d) Части С Раздела 2.01 настоящего Приложения; (v) закупку товаров, работ и услуг для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(vi) ведение связанной с Проектом учетной документации и счетов, организацию аудита; (vii) составление отчетов по Проекту и программы работ на год; и (b) реализацию проектных мероприятий силами ГУП в тесном сотрудничестве с НПО "Арал Тенизи" и сельскими активистами, которые будут наняты в рамках Части D Проекта, упоминаемой в Разделе 2.01 настоящего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Получатель, через КВР, обеспечит принятие всех надлежащих мер для реализации пункта (d) Части С Раздела 2.01 настоящего Приложения в соответствии с ОРП, и не будет передавать, вносить изменения, отменять или аннулировать любые положения ОРП без предварительного одобрения Всемирным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Получатель, через КВР, обеспечит: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отбор, экспертизу, реализацию и оценку предложений по подпроектам, предусматриваемым пунктом (d) Части С Раздела 2.01 настоящего Приложения, в соответствии с принципами, процедурами и критериями, излагаемыми в ОРП;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Всемирному Банку права осуществлять рассмотрение предложений по подпроектам, предусматриваемым пунктом (d) Части С Раздела 2.01 настоящего Приложения, для назначения грантов в любой момент в процессе реализации Проекта; в случае несогласия с основаниями, применяемыми для одобрения или отклонения таких предложений по подпроектам, Всемирный Банк вправе требовать изменения результатов отбора;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присуждение ГУПом субгрантов по подпроектам, предусматриваемым пунктом (d) Части С Раздела 2.01 настоящего Приложения, в соответствии с включенной в ОРП стандартной формой соглашений о субгрантах, в которой: (i) в достаточном объеме описываются предложения по подпроектам для реализации выделенных субгрантов; (ii) получатели субгрантов должны будут реализовывать такие предложения по подпроектам в соответствии с описанием и в рамках бюджетов, указанных в соглашениях о субгрантах, и должны будут осуществлять закупку требуемых для реализации предложений по подпроектам товаров и услуг в соответствии с процедурами, излагаемыми в соглашении о субгранте; (iii) сумма каждого субгранта должна основываться на данных о расчетной себестоимости товаров, работ и услуг и операционных расходов, которые потребуются для подпроекта, и не должна превышать указанного в ОРП лимита по каждому субгранту; и (iv) использование подпроекта и распределение затрат, должны быть произведены получателем субгранта в отношении финансирования подпроекта, соответствовать требованиям, излагаемым в ОРП.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Управление финансами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(а) Получатель обеспечит работу системы управления финансами в соответствии с положениями Раздела 2.07 Стандартных условий.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Получатель обеспечит составление и направление во Всемирный Банк промежуточной непроверенной финансовой отчетности по Проекту в течение одного месяца с момента завершения каждого календарного квартала, причем каждый такой отчет должен охватывать соответствующий квартал, а форма и содержание такого отчета должны соответствовать требованиям Всемирного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Получатель обеспечит аудиторскую проверку своих финансовых отчетов по Проекту в соответствии с положениями Раздела 2.07 (b) Стандартных условий. Аудиторская проверка финансовых отчетов должна охватывать период продолжительностью в один бюджетный год Получателя. Прошедшие аудиторскую проверку финансовые отчеты должны направляться во Всемирный Банк в течение шести месяцев с момента завершения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2.08.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Закупки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: Все необходимые для реализации Проекта товары, работы и услуги, которые должны финансироваться из средств Гранта, закупаются в соответствии с требованиями, изложенными или упомянутыми 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Разделе I "Руководства по закупкам в рамках займов МБРР и кредитов MAP", опубликованного Всемирным Банком в мае 2004 года и пересмотренного в октябре 2006 года (Руководство по закупкам) - в случае закупки товаров и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Разделах I и IV "Руководства по отбору и найму консультантов заемщиками Всемирного Банка", опубликованного в мае 2004 года и пересмотренного в октябре 2006 года (Руководство по отбору консультантов) в случае найма консультантов;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Положениях настоящего Раздела, которые могут быть конкретизированы в плане закупок, составляемом и периодически обновляемом Получателем по данному Проекту в соответствии с пунктом 1.16 Руководства по закупкам и пунктом 1.24 Руководства по отбору консультантов (План закупок).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Определения
</w:t>
      </w:r>
      <w:r>
        <w:rPr>
          <w:rFonts w:ascii="Times New Roman"/>
          <w:b w:val="false"/>
          <w:i w:val="false"/>
          <w:color w:val="000000"/>
          <w:sz w:val="28"/>
        </w:rPr>
        <w:t>
. Термины, которые обозначены заглавными буквами и используются в следующих пунктах настоящего Раздела для описания частных методов закупок или методов рассмотрения Всемирным Банком отдельных контрактов, относятся к соответствующим методам, описываемым в Руководстве по закупкам или Руководстве по отбору консультантов, в зависимости от каждого конкретного случая.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Частные методы закупки товаров и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Если иное не предусмотрено нижеследующим подпунктом (ii), закупка товаров и работ будет производиться по контрактам, заключаемых на основании результатов Международных конкурсных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Помимо Международных конкурсных торгов, для закупки товаров и работ по контрактам, указанным в Плане закупок, могут применяться следующие методы: (А) Ограниченные международные торги; (В) Национальные конкурсные торги, на которые распространяется действие следующих дополнительных положений: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Участие государственных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Республики Казахстан допускаются к участию в торгах лишь в том случае, если они могут подтвердить свою юридическую и финансовую независимость, действуют на основании торгового права, и не являются зависимыми агентствами заказчика. Кроме этого, к ним будут применяться те же требования в отношении заявок и обеспечения, что и к другим участникам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Тендерная документация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Закупающие организации обязаны использовать соответствующую типовую тендерную документацию при закупке товаров, отвечающих требованиям МБРР.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Вскрытие и оценка заявок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Вскрытие заявок производится публично, сразу же после наступления крайнего срока подачи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Оценка заявок производится со строгим соблюдением заявленных в тендерной документации критериев, измеримых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Не допускается предпочтение отечественных товаров и подрядчиков;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Контракт заключается с квалифицированным участником, представившим отвечающую установленным требованиям заявку с наименьшей стоимостью, переговоры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Корректировка цены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Контракты на строительные работы на длительный срок (например, продолжительностью более восемнадцати (18) месяцев) должны включать соответствующий пункт о корректировке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Аннулирование процесса подачи заявок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Непризнание результатов тендера и принятие новых заявок могут производиться лишь по предварительному согласованию с Ассоциацией.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Отклонение индивидуальной заявки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заявка отклоняется лишь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Заявитель не отвечает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Заявитель не принимает исправление арифметической ошибки в заявке, на которую указывает Тендерная комиссия закупающей организации;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Заявитель не отвечает требованиям тендерной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Закупки в свободной торговле; и (D) Прямое заключение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Частные методы закупки услуг консультантов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Если иное не предусмотрено нижеследующим подпунктом (ii), закупка услуг консультантов будет производиться на основании контрактов, заключаемых по результатам отбора консультантов по критериям качества и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Для закупки услуг консультантов, привлекаемых к выполнению заданий, указанных в Плане закупок, могут применяться следующие методы: (А) Отбор по критерию наименьшей стоимости; (В) Отбор индивидуальных консультантов; и (С) Процедуры отбора индивидуальных консультантов из одного источника.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Рассмотрение Всемирным Банком решений по закупкам
</w:t>
      </w:r>
      <w:r>
        <w:rPr>
          <w:rFonts w:ascii="Times New Roman"/>
          <w:b w:val="false"/>
          <w:i w:val="false"/>
          <w:color w:val="000000"/>
          <w:sz w:val="28"/>
        </w:rPr>
        <w:t>
. В Плане закупок должны быть указаны те контракты, которые являются предметом предварительного рассмотрения Всемирным Банком. Остальные контракты являются предметом последующего рассмотрения (по факту) Всемирным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Снятие средств Гранта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3.01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Допустимые расходы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Получатель может производить выборку средств Гранта в соответствии с положениями: (а) Статьи III Стандартных условий; (b) настоящего Раздела; и (с) дополнительных инструкций, которые Всемирный Банк может давать посредством уведомления Получателя (включая "Руководство Всемирного Банка по осуществлению выплат по проектам" в редакции, датированной маем 2006 года, периодически пересматриваемой Всемирным банком и применимой к настоящему Соглашению на основании таких инструкций) для финансирования удовлетворяющих критериям расходов, изложенных в следующей таблице. В таблице представлены Категории расходов, которые могут финансироваться из средств Гранта (Категории), размеры выделяемых на каждую категорию ассигнований из средств Гранта, а также процентные доли расходов, подлежащих финансированию в качестве удовлетворяющих критериям расходов по каждой Категории: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3413"/>
        <w:gridCol w:w="3413"/>
      </w:tblGrid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 (%)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налоги)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Товары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Работы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100 %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Услуги консультантов,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аудит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587285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Субгранты,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(d) Части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2.01 Приложения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настоящему Соглашению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100 %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Обучение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1902285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Раздела термин "обучение" означает обучение, проводимое на территории страны Получателя, включая покупку и публикацию материалов, аренду помещений, оплату учебных курсов, а также командировочные и суточные расходы обучающихся;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3.02.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Условия снятия средств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Несмотря на положения Раздела 3.01 настоящего Соглашения, не допускается снятие средств со Счета Гранта: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для финансирования платежей, произведенных до даты подписания Получателем настоящего Соглашения;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для финансирования платежей Категории (4) по субгрантам, предусматриваемым пунктом (d) Части С Раздела 2.01 настоящего Приложения, в том случае, если: (i) Получателем не будет принято удовлетворяющее требованиям Всемирного Банка ОРП, содержащее инструкции по осуществлению предварительной экологической проверки подпроектов, предусматриваемых пунктом (d) Части С Раздела 2.01 настоящего Приложения; и (ii) между Получателем и бенефициаром субгранта, предусматриваемого пунктом (d) Части С Раздела 2.01 настоящего Приложения, не будет подписано соглашение о субгранте, удовлетворяющее требованиям Всемирного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3.03.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Период снятия средств со Счета Гранта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Дата закрытия, на которую ссылается пункт (с) Раздела 3.06 Стандартных условий, наступает через четыре года с момента подписания Получателем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Представитель Получателя; Адреса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Представитель Получателя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Представителем Получателя, на которого ссылается Раздел 7.02 Стандартных условий, является Министерство сельского хозяйства страны Получателя.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4.02.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Адрес Получателя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Адрес Получателя, на который ссылается Раздел 7.01 Стандартных условий: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Кенесары,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(7) (3172) 555995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4.03.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Адрес Всемирного Банка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Адрес Всемирного Банка, на который ссылается Раздел 7.01 Стандартных условий: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H, 1818, N.W.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Телеграф:         Телекс:            Факс: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INTBAFRAD         248423 (MCI) или   1-202-477-6391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Washington, D.C.  64145 (MCI)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сентября 2007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Г-ну Есимову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Кенесары,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Астана, 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Относительно:     Грант N TF056801 (Грант Фонда социального развития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Правительстве Японии (JSDF) на финансирование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общественного управления и обеспечения устойчивой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жизнедеятельности предприятий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Аральского моря). Дополнительные инструкции: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Уважаемый г-н Министр,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позвольте сослаться на Письмо-соглашение (Соглашение о Гранте) между Международным Банком Реконструкции и Развития (Всемирный Банк), выступающим в качестве администратора грантовых средств, выделяемых из Фонда социального развития при Правительстве Японии (JSDF), и Республикой Казахстан (Получатель) по вышеназванному проекту. В соответствии с Соглашением, Всемирный Банк может давать дополнительные инструкции относительно выборки средств Гранта N TF056801 (Грант). Настоящее письмо (Письмо о выплатах), содержание которого может время от времени пересматриваться, содержит дополнительные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Прилагаемое "Руководство Всемирного Банка по выплатам по проектам" от 1 мая 2006 года (Руководство по выплатам) (Приложение 1) является неотъемлемой частью Письма об использовании грантовых средств. Ниже подробно говорится о том, как положения Руководства по выплатам применяются в отношении Гранта. Разделы и подразделы, вынесенные ниже в скобки, ссылаются на соответствующие разделы и подразделы Руководства по выплатам и, если настоящим письмом не определено иное, используемые в нем термины, обозначенные заглавными буквами, имеют значения, приписываемые им Руководством по выплатам.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Механизмы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(i) Способы осуществления выплат (Раздел 2)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 рамках данного Гранта могут применяться следующие способы осуществления выплат: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Авансовая выплата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Прямые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Целевая выплата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(ii) Крайний срок осуществления выплат (Подраздел 3.7)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Крайний срок осуществления выплат составляет 4 месяца с момента наступления даты закрытия, определенной в Письме-соглашении. Всемирный Банк дополнительно сообщит о любом изменении указанного срока.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(iii) Условия осуществления выплат (Подраздел 3.8)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Пожалуйста, обратитесь к Условиям осуществления выплат, предусматриваемым Соглашением о Гранте (Статья III, Раздел 3.02 (b)).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Выборка грантовых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(i) Образцы подписей уполномоченных лиц (Подраздел 3.1).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Письмо, составленное в соответствии с прилагаемой формой (Приложение 2), с указанием имен(и) и образцов(а) подписи лиц(а), наделенных(ого) полномочиями подписывать Заявки на снятие средств, необходимо доставить во Всемирный Банк по указанному ниже адресу: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офис Всемирного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Тауэрс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Самал, 2, 14 этаж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Астана, 473000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 г-жи Аннет Диксон, Директора регионального офиса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(ii) Заявки на снятие средств (Подразделы 3.2-3.3)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Заполненные и подписанные (а) заявки на снятие средств вместе с сопроводительной документацией, и (b) заявки на осуществление целевых выплат вместе с копией аккредитива коммерческого банка направляйте по указанному ниже адресу: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World Bank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Radnicka cesta 80,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th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floor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Zagreb, HR - 10 000, Croatia.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Attention: Disbursement Management Group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(iii) Минимальная сумма заявки на снятие средств (Подраздел 3.5).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сумма заявки на осуществление прямых и целевых выплат эквивалентна 20000 долларов США.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(iv) Авансовые выплаты (Разделы 5 и 6).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Тип Специального счета (Подраздел 5.3)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отдельный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Валюта Специального счета (Подраздел 5.4)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доллар США (US$)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Финансовое учреждение, в котором будет открыт Специальный счет (подраздел 5.5)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коммерческий банк, соответствующий требованиям Всемирного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Максимальный размер разовой выплаты (Подраздел 6.1)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100 000 долл.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Отчетность об использовании грантовых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(i) Сопроводительная документация (Раздел 4)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Каждая заявка на снятие средств должна быть подкреплена следующими сопроводительными документами: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Для запросов на возмещение расходов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 Список выплат по контрактам, подлежащим предварительному рассмотрению Всемирным Банком, составленный в соответствии с прилагаемой формой (Приложение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Документация, свидетельствующая об осуществлении удовлетворяющих критериям расходов (например, копии чеков, счетов-фактур поставщиков) по оплате товаров, приобретаемых по контрактам стоимостью 100 000 долларов США или более; по оплате работ, приобретаемых по контрактам стоимостью 100 000 долларов США или более; по оплате консультационных услуг, приобретаемых по контрактам стоимостью 100 000 долларов США или более - для консультационных фирм, и 50 000 долларов США или более - для индивидуальных консультантов.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Расходная ведомость, составленная в соответствии с прилагаемой формой (Приложение 3), по всем прочим расходам/контрактам.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Для отчетности по удовлетворяющим критериям расходам, оплаченным со Специального счета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Список выплат по контрактам, подлежащим предварительному рассмотрению Всемирным Банком, составленный в соответствии с прилагаемой формой (Приложение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Документация, свидетельствующая об осуществлении удовлетворяющих критериям расходов (например, копии чеков, счетов-фактур поставщиков) по оплате товаров, приобретаемых по контрактам стоимостью 100 000 долларов США или более; по оплате работ, приобретаемых по контрактам стоимостью 100 000 долларов США или более; по оплате консультационных услуг, приобретаемых по контрактам стоимостью 100 000 долларов США или более - для консультационных фирм, и 50 000 долларов США или более - для индивидуальных консультантов.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Расходная ведомость, составленная в соответствии с прилагаемой формой (Приложение 3), по всем прочим расходам/контрактам.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Для запросов на осуществление прямых платежей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документы, свидетельствующие об осуществлении удовлетворяющих критериям расходов например, копии чеков или счетов-фактур поставщиков.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(ii) Периодичность отчетности по удовлетворяющим критериям расходам, оплачиваемым со Специального счета (подраздел 6.3)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Ежемесячно.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Прочая важная 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по механизмам выплат можно получить в Руководстве по выплатам, размещенном на общедоступном веб-сайте Всемирного Банка по адресу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http://www.worldbank.org
</w:t>
      </w:r>
      <w:r>
        <w:rPr>
          <w:rFonts w:ascii="Times New Roman"/>
          <w:b w:val="false"/>
          <w:i w:val="false"/>
          <w:color w:val="000000"/>
          <w:sz w:val="28"/>
        </w:rPr>
        <w:t>
, а также на веб-сайте с ограниченным доступом "Client Connection", расположенном по адресу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http://clientconnection.worldbank.org
</w:t>
      </w:r>
      <w:r>
        <w:rPr>
          <w:rFonts w:ascii="Times New Roman"/>
          <w:b w:val="false"/>
          <w:i w:val="false"/>
          <w:color w:val="000000"/>
          <w:sz w:val="28"/>
        </w:rPr>
        <w:t>
. Печатные копии могут быть представлены по требованию.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Банк рекомендует Вам зарегистрироваться в качестве пользователя веб-сайта "Client Connection" (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http://clientconnection.worldbank.org
</w:t>
      </w:r>
      <w:r>
        <w:rPr>
          <w:rFonts w:ascii="Times New Roman"/>
          <w:b w:val="false"/>
          <w:i w:val="false"/>
          <w:color w:val="000000"/>
          <w:sz w:val="28"/>
        </w:rPr>
        <w:t>
), если Вы еще этого не сделали. Вы сможете скачивать с этого веб-сайта заявки, отслеживать статус Гранта в режиме, близком к реальному времени, а также получать соответствующую информацию по вопросам политики, финансов и закупок. Для получения дополнительной информации о веб-сайте и механизмах регистрации Вы можете обратиться во Всемирный Банк по электронной почте, отправив письмо по адресу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clientconnection@worldbank.org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любым интересующим Вас вопросам в отношении вышеизложенного Вы можете обращаться к г-ну Николаю Чистякову, Старшему эксперту по финансам, по электронной почте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loa-eca@worldbank.org
</w:t>
      </w:r>
      <w:r>
        <w:rPr>
          <w:rFonts w:ascii="Times New Roman"/>
          <w:b w:val="false"/>
          <w:i w:val="false"/>
          <w:color w:val="000000"/>
          <w:sz w:val="28"/>
        </w:rPr>
        <w:t>
, сославшись на предмет настоящего письма.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уважением,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и по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БАНКА РЕКОНСТРУКЦИИ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Аннет Диксон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по странам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Региональное управление по странам Европы и Центральной Азии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Руководство Всемирного Банка по выплатам по проектам в редакции от 1 мая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Форма для образцов подписей уполномоченных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Форма расходной ведомости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Форма выплат по контрактам, подлежащим предварительному рассмотрению Всемирным Банком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        Анаркан Акерова, LEGEC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Йоуп Стаутжесдайк, ECSSD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Копии направлены в: Комитет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