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af6aa" w14:textId="44af6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выделения бюджетных субсидий на покрытие убытков, связанных с обеспечением сохранности, учета, комплектования и реставрации историко-культурных ценностей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19 января 2008 года № 31. Утратило силу постановлением Правительства Республики Казахстан от 27 октября 2011 года № 1211</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27.10.2011 </w:t>
      </w:r>
      <w:r>
        <w:rPr>
          <w:rFonts w:ascii="Times New Roman"/>
          <w:b w:val="false"/>
          <w:i w:val="false"/>
          <w:color w:val="ff0000"/>
          <w:sz w:val="28"/>
        </w:rPr>
        <w:t>№ 1211</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15 декабря 2006 года "О культуре"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xml:space="preserve">
      1. Утвердить прилагаемые Правила выделения бюджетных субсидий на покрытие убытков, связанных с обеспечением сохранности, учета, комплектования и реставрации историко-культурных ценностей. </w:t>
      </w:r>
      <w:r>
        <w:br/>
      </w:r>
      <w:r>
        <w:rPr>
          <w:rFonts w:ascii="Times New Roman"/>
          <w:b w:val="false"/>
          <w:i w:val="false"/>
          <w:color w:val="000000"/>
          <w:sz w:val="28"/>
        </w:rPr>
        <w:t xml:space="preserve">
      2. Настоящее постановление вводится в действие с 1 января 2008 года.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19 января 2008 года N 31   </w:t>
      </w:r>
    </w:p>
    <w:bookmarkStart w:name="z2" w:id="0"/>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выделения бюджетных субсидий на покрытие убытков, </w:t>
      </w:r>
      <w:r>
        <w:br/>
      </w:r>
      <w:r>
        <w:rPr>
          <w:rFonts w:ascii="Times New Roman"/>
          <w:b/>
          <w:i w:val="false"/>
          <w:color w:val="000000"/>
        </w:rPr>
        <w:t xml:space="preserve">
связанных с обеспечением сохранности, учета, </w:t>
      </w:r>
      <w:r>
        <w:br/>
      </w:r>
      <w:r>
        <w:rPr>
          <w:rFonts w:ascii="Times New Roman"/>
          <w:b/>
          <w:i w:val="false"/>
          <w:color w:val="000000"/>
        </w:rPr>
        <w:t xml:space="preserve">
комплектования и реставрации </w:t>
      </w:r>
      <w:r>
        <w:br/>
      </w:r>
      <w:r>
        <w:rPr>
          <w:rFonts w:ascii="Times New Roman"/>
          <w:b/>
          <w:i w:val="false"/>
          <w:color w:val="000000"/>
        </w:rPr>
        <w:t xml:space="preserve">
историко-культурных ценностей </w:t>
      </w:r>
    </w:p>
    <w:bookmarkEnd w:id="0"/>
    <w:bookmarkStart w:name="z3" w:id="1"/>
    <w:p>
      <w:pPr>
        <w:spacing w:after="0"/>
        <w:ind w:left="0"/>
        <w:jc w:val="left"/>
      </w:pPr>
      <w:r>
        <w:rPr>
          <w:rFonts w:ascii="Times New Roman"/>
          <w:b/>
          <w:i w:val="false"/>
          <w:color w:val="000000"/>
        </w:rPr>
        <w:t xml:space="preserve"> 
1. Общие положения </w:t>
      </w:r>
    </w:p>
    <w:bookmarkEnd w:id="1"/>
    <w:bookmarkStart w:name="z4" w:id="2"/>
    <w:p>
      <w:pPr>
        <w:spacing w:after="0"/>
        <w:ind w:left="0"/>
        <w:jc w:val="both"/>
      </w:pPr>
      <w:r>
        <w:rPr>
          <w:rFonts w:ascii="Times New Roman"/>
          <w:b w:val="false"/>
          <w:i w:val="false"/>
          <w:color w:val="000000"/>
          <w:sz w:val="28"/>
        </w:rPr>
        <w:t>
      1. Настоящие Правила выделения бюджетных субсидий на покрытие убытков, связанных с обеспечением сохранности, учета, комплектования и реставрации историко-культурных ценностей (далее - Правила), разработаны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15 декабря 2006 года "О культуре" и определяют порядок выделения бюджетных субсидий на покрытие убытков государственных музеев по обеспечению сохранности, учета, комплектования и реставрации историко-культурных ценностей.  </w:t>
      </w:r>
    </w:p>
    <w:bookmarkEnd w:id="2"/>
    <w:bookmarkStart w:name="z5" w:id="3"/>
    <w:p>
      <w:pPr>
        <w:spacing w:after="0"/>
        <w:ind w:left="0"/>
        <w:jc w:val="both"/>
      </w:pPr>
      <w:r>
        <w:rPr>
          <w:rFonts w:ascii="Times New Roman"/>
          <w:b w:val="false"/>
          <w:i w:val="false"/>
          <w:color w:val="000000"/>
          <w:sz w:val="28"/>
        </w:rPr>
        <w:t xml:space="preserve">
      2. Субсидии предназначаются для процентного покрытия убытков (удешевление стоимости услуг) государственных музеев, связанных с обеспечением сохранности, учета, комплектования и реставрации историко-культурных ценностей в соответствии с бюджетным законодательством Республики Казахстан . </w:t>
      </w:r>
    </w:p>
    <w:bookmarkEnd w:id="3"/>
    <w:bookmarkStart w:name="z6" w:id="4"/>
    <w:p>
      <w:pPr>
        <w:spacing w:after="0"/>
        <w:ind w:left="0"/>
        <w:jc w:val="left"/>
      </w:pPr>
      <w:r>
        <w:rPr>
          <w:rFonts w:ascii="Times New Roman"/>
          <w:b/>
          <w:i w:val="false"/>
          <w:color w:val="000000"/>
        </w:rPr>
        <w:t xml:space="preserve"> 
2. Порядок получения бюджетных субсидий на покрытие убытков </w:t>
      </w:r>
      <w:r>
        <w:br/>
      </w:r>
      <w:r>
        <w:rPr>
          <w:rFonts w:ascii="Times New Roman"/>
          <w:b/>
          <w:i w:val="false"/>
          <w:color w:val="000000"/>
        </w:rPr>
        <w:t xml:space="preserve">
государственных музеев, связанных с обеспечением сохранности, учета, </w:t>
      </w:r>
      <w:r>
        <w:br/>
      </w:r>
      <w:r>
        <w:rPr>
          <w:rFonts w:ascii="Times New Roman"/>
          <w:b/>
          <w:i w:val="false"/>
          <w:color w:val="000000"/>
        </w:rPr>
        <w:t xml:space="preserve">
комплектования и реставрации историко-культурных ценностей </w:t>
      </w:r>
    </w:p>
    <w:bookmarkEnd w:id="4"/>
    <w:bookmarkStart w:name="z7" w:id="5"/>
    <w:p>
      <w:pPr>
        <w:spacing w:after="0"/>
        <w:ind w:left="0"/>
        <w:jc w:val="both"/>
      </w:pPr>
      <w:r>
        <w:rPr>
          <w:rFonts w:ascii="Times New Roman"/>
          <w:b w:val="false"/>
          <w:i w:val="false"/>
          <w:color w:val="000000"/>
          <w:sz w:val="28"/>
        </w:rPr>
        <w:t xml:space="preserve">
      3. Выделение субсидий из республиканского бюджета производится в соответствии с планом финансирования и паспортом бюджетной программы, утвержденным постановлением Правительства Республики Казахстан . </w:t>
      </w:r>
      <w:r>
        <w:br/>
      </w:r>
      <w:r>
        <w:rPr>
          <w:rFonts w:ascii="Times New Roman"/>
          <w:b w:val="false"/>
          <w:i w:val="false"/>
          <w:color w:val="000000"/>
          <w:sz w:val="28"/>
        </w:rPr>
        <w:t xml:space="preserve">
      Выделение субсидий из местного бюджета производится в соответствии </w:t>
      </w:r>
      <w:r>
        <w:rPr>
          <w:rFonts w:ascii="Times New Roman"/>
          <w:b/>
          <w:i w:val="false"/>
          <w:color w:val="000000"/>
          <w:sz w:val="28"/>
        </w:rPr>
        <w:t xml:space="preserve">с </w:t>
      </w:r>
      <w:r>
        <w:rPr>
          <w:rFonts w:ascii="Times New Roman"/>
          <w:b w:val="false"/>
          <w:i w:val="false"/>
          <w:color w:val="000000"/>
          <w:sz w:val="28"/>
        </w:rPr>
        <w:t xml:space="preserve">планом финансирования и паспортом бюджетной программы, утвержденным местным исполнительным органом.  </w:t>
      </w:r>
    </w:p>
    <w:bookmarkEnd w:id="5"/>
    <w:bookmarkStart w:name="z8" w:id="6"/>
    <w:p>
      <w:pPr>
        <w:spacing w:after="0"/>
        <w:ind w:left="0"/>
        <w:jc w:val="both"/>
      </w:pPr>
      <w:r>
        <w:rPr>
          <w:rFonts w:ascii="Times New Roman"/>
          <w:b w:val="false"/>
          <w:i w:val="false"/>
          <w:color w:val="000000"/>
          <w:sz w:val="28"/>
        </w:rPr>
        <w:t xml:space="preserve">
      4. Распределение субсидий из государственного бюджета осуществляется путем направления суммы на покрытие стоимости текущих расходов государственных музеев, за минусом стоимости покрываемой самими музеями за счет собственных средств. При этом размер субсидий не должен превышать 80 % от суммы общих текущих расходов государственных музеев.  </w:t>
      </w:r>
    </w:p>
    <w:bookmarkEnd w:id="6"/>
    <w:bookmarkStart w:name="z9" w:id="7"/>
    <w:p>
      <w:pPr>
        <w:spacing w:after="0"/>
        <w:ind w:left="0"/>
        <w:jc w:val="both"/>
      </w:pPr>
      <w:r>
        <w:rPr>
          <w:rFonts w:ascii="Times New Roman"/>
          <w:b w:val="false"/>
          <w:i w:val="false"/>
          <w:color w:val="000000"/>
          <w:sz w:val="28"/>
        </w:rPr>
        <w:t xml:space="preserve">
      5. Администратор бюджетной программы: </w:t>
      </w:r>
      <w:r>
        <w:br/>
      </w:r>
      <w:r>
        <w:rPr>
          <w:rFonts w:ascii="Times New Roman"/>
          <w:b w:val="false"/>
          <w:i w:val="false"/>
          <w:color w:val="000000"/>
          <w:sz w:val="28"/>
        </w:rPr>
        <w:t xml:space="preserve">
      1) определяет размер субсидий; </w:t>
      </w:r>
      <w:r>
        <w:br/>
      </w:r>
      <w:r>
        <w:rPr>
          <w:rFonts w:ascii="Times New Roman"/>
          <w:b w:val="false"/>
          <w:i w:val="false"/>
          <w:color w:val="000000"/>
          <w:sz w:val="28"/>
        </w:rPr>
        <w:t xml:space="preserve">
      2) в течение пятнадцати рабочих дней после утверждения уполномоченным органом по исполнению бюджета сводного плана финансирования, доводит до государственных музеев сведение об объемах выделяемых субсидий; </w:t>
      </w:r>
      <w:r>
        <w:br/>
      </w:r>
      <w:r>
        <w:rPr>
          <w:rFonts w:ascii="Times New Roman"/>
          <w:b w:val="false"/>
          <w:i w:val="false"/>
          <w:color w:val="000000"/>
          <w:sz w:val="28"/>
        </w:rPr>
        <w:t xml:space="preserve">
      3) ежемесячно для выделения субсидий представляет в территориальное подразделение казначейства реестр счетов к оплате в двух экземплярах и счета к оплате.  </w:t>
      </w:r>
    </w:p>
    <w:bookmarkEnd w:id="7"/>
    <w:bookmarkStart w:name="z10" w:id="8"/>
    <w:p>
      <w:pPr>
        <w:spacing w:after="0"/>
        <w:ind w:left="0"/>
        <w:jc w:val="both"/>
      </w:pPr>
      <w:r>
        <w:rPr>
          <w:rFonts w:ascii="Times New Roman"/>
          <w:b w:val="false"/>
          <w:i w:val="false"/>
          <w:color w:val="000000"/>
          <w:sz w:val="28"/>
        </w:rPr>
        <w:t xml:space="preserve">
      6. Ответственность за достоверность документов, представляемых в территориальное подразделение казначейства несет администратор бюджетной программы.  </w:t>
      </w:r>
    </w:p>
    <w:bookmarkEnd w:id="8"/>
    <w:bookmarkStart w:name="z11" w:id="9"/>
    <w:p>
      <w:pPr>
        <w:spacing w:after="0"/>
        <w:ind w:left="0"/>
        <w:jc w:val="both"/>
      </w:pPr>
      <w:r>
        <w:rPr>
          <w:rFonts w:ascii="Times New Roman"/>
          <w:b w:val="false"/>
          <w:i w:val="false"/>
          <w:color w:val="000000"/>
          <w:sz w:val="28"/>
        </w:rPr>
        <w:t xml:space="preserve">
      7. Субсидии, получаемые государственными музеями, зачисляются на текущий счет, открываемый в банках второго уровня и расходуются строго по целевому назначению.  </w:t>
      </w:r>
    </w:p>
    <w:bookmarkEnd w:id="9"/>
    <w:bookmarkStart w:name="z12" w:id="10"/>
    <w:p>
      <w:pPr>
        <w:spacing w:after="0"/>
        <w:ind w:left="0"/>
        <w:jc w:val="both"/>
      </w:pPr>
      <w:r>
        <w:rPr>
          <w:rFonts w:ascii="Times New Roman"/>
          <w:b w:val="false"/>
          <w:i w:val="false"/>
          <w:color w:val="000000"/>
          <w:sz w:val="28"/>
        </w:rPr>
        <w:t xml:space="preserve">
      8. Государственные музеи для получения субсидий представляют администратору бюджетной программы: </w:t>
      </w:r>
      <w:r>
        <w:br/>
      </w:r>
      <w:r>
        <w:rPr>
          <w:rFonts w:ascii="Times New Roman"/>
          <w:b w:val="false"/>
          <w:i w:val="false"/>
          <w:color w:val="000000"/>
          <w:sz w:val="28"/>
        </w:rPr>
        <w:t xml:space="preserve">
      1) ежегодно, не позднее 30 декабря текущего года, на основании полученных объемов субсидий, утвержденные расчеты доходов и расходов по оказываемым услугам на предстоящий год, согласно приложениям 1 и 2 к настоящим Правилам; </w:t>
      </w:r>
      <w:r>
        <w:br/>
      </w:r>
      <w:r>
        <w:rPr>
          <w:rFonts w:ascii="Times New Roman"/>
          <w:b w:val="false"/>
          <w:i w:val="false"/>
          <w:color w:val="000000"/>
          <w:sz w:val="28"/>
        </w:rPr>
        <w:t xml:space="preserve">
      2) ежемесячно, не позднее 25 числа месяца, расчеты покрытия убытков на предстоящий месяц согласно приложению 3 к настоящим Правилам.  </w:t>
      </w:r>
    </w:p>
    <w:bookmarkEnd w:id="10"/>
    <w:bookmarkStart w:name="z13" w:id="11"/>
    <w:p>
      <w:pPr>
        <w:spacing w:after="0"/>
        <w:ind w:left="0"/>
        <w:jc w:val="both"/>
      </w:pPr>
      <w:r>
        <w:rPr>
          <w:rFonts w:ascii="Times New Roman"/>
          <w:b w:val="false"/>
          <w:i w:val="false"/>
          <w:color w:val="000000"/>
          <w:sz w:val="28"/>
        </w:rPr>
        <w:t xml:space="preserve">
      9. Государственные музеи несут ответственность за достоверность и правильное составление расчетов, обеспечивают их своевременное представление администратору бюджетных программ.  </w:t>
      </w:r>
    </w:p>
    <w:bookmarkEnd w:id="11"/>
    <w:bookmarkStart w:name="z14" w:id="12"/>
    <w:p>
      <w:pPr>
        <w:spacing w:after="0"/>
        <w:ind w:left="0"/>
        <w:jc w:val="both"/>
      </w:pPr>
      <w:r>
        <w:rPr>
          <w:rFonts w:ascii="Times New Roman"/>
          <w:b w:val="false"/>
          <w:i w:val="false"/>
          <w:color w:val="000000"/>
          <w:sz w:val="28"/>
        </w:rPr>
        <w:t xml:space="preserve">
      10. Ответственность за эффективное, результативное и целевое использование бюджетных средств, выделенных на субсидии государственным музеям несут, Министерство культуры и информации Республики Казахстан, местные исполнительные органы. </w:t>
      </w:r>
    </w:p>
    <w:bookmarkEnd w:id="12"/>
    <w:bookmarkStart w:name="z15" w:id="13"/>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выделения бюджетных    </w:t>
      </w:r>
      <w:r>
        <w:br/>
      </w:r>
      <w:r>
        <w:rPr>
          <w:rFonts w:ascii="Times New Roman"/>
          <w:b w:val="false"/>
          <w:i w:val="false"/>
          <w:color w:val="000000"/>
          <w:sz w:val="28"/>
        </w:rPr>
        <w:t xml:space="preserve">
субсидий на покрытие убытков,   </w:t>
      </w:r>
      <w:r>
        <w:br/>
      </w:r>
      <w:r>
        <w:rPr>
          <w:rFonts w:ascii="Times New Roman"/>
          <w:b w:val="false"/>
          <w:i w:val="false"/>
          <w:color w:val="000000"/>
          <w:sz w:val="28"/>
        </w:rPr>
        <w:t xml:space="preserve">
связанных с обеспечением      </w:t>
      </w:r>
      <w:r>
        <w:br/>
      </w:r>
      <w:r>
        <w:rPr>
          <w:rFonts w:ascii="Times New Roman"/>
          <w:b w:val="false"/>
          <w:i w:val="false"/>
          <w:color w:val="000000"/>
          <w:sz w:val="28"/>
        </w:rPr>
        <w:t xml:space="preserve">
сохранности, учета,      </w:t>
      </w:r>
      <w:r>
        <w:br/>
      </w:r>
      <w:r>
        <w:rPr>
          <w:rFonts w:ascii="Times New Roman"/>
          <w:b w:val="false"/>
          <w:i w:val="false"/>
          <w:color w:val="000000"/>
          <w:sz w:val="28"/>
        </w:rPr>
        <w:t xml:space="preserve">
комплектования и реставрации   </w:t>
      </w:r>
      <w:r>
        <w:br/>
      </w:r>
      <w:r>
        <w:rPr>
          <w:rFonts w:ascii="Times New Roman"/>
          <w:b w:val="false"/>
          <w:i w:val="false"/>
          <w:color w:val="000000"/>
          <w:sz w:val="28"/>
        </w:rPr>
        <w:t xml:space="preserve">
историко-культурных ценностей  </w:t>
      </w:r>
    </w:p>
    <w:bookmarkEnd w:id="13"/>
    <w:p>
      <w:pPr>
        <w:spacing w:after="0"/>
        <w:ind w:left="0"/>
        <w:jc w:val="left"/>
      </w:pPr>
      <w:r>
        <w:rPr>
          <w:rFonts w:ascii="Times New Roman"/>
          <w:b/>
          <w:i w:val="false"/>
          <w:color w:val="000000"/>
        </w:rPr>
        <w:t xml:space="preserve"> План доходов </w:t>
      </w:r>
      <w:r>
        <w:br/>
      </w:r>
      <w:r>
        <w:rPr>
          <w:rFonts w:ascii="Times New Roman"/>
          <w:b/>
          <w:i w:val="false"/>
          <w:color w:val="000000"/>
        </w:rPr>
        <w:t xml:space="preserve">
_______________________________________ </w:t>
      </w:r>
      <w:r>
        <w:br/>
      </w:r>
      <w:r>
        <w:rPr>
          <w:rFonts w:ascii="Times New Roman"/>
          <w:b/>
          <w:i w:val="false"/>
          <w:color w:val="000000"/>
        </w:rPr>
        <w:t xml:space="preserve">
(наименование юридического лица) </w:t>
      </w:r>
      <w:r>
        <w:br/>
      </w:r>
      <w:r>
        <w:rPr>
          <w:rFonts w:ascii="Times New Roman"/>
          <w:b/>
          <w:i w:val="false"/>
          <w:color w:val="000000"/>
        </w:rPr>
        <w:t xml:space="preserve">
  </w:t>
      </w:r>
      <w:r>
        <w:br/>
      </w:r>
      <w:r>
        <w:rPr>
          <w:rFonts w:ascii="Times New Roman"/>
          <w:b/>
          <w:i w:val="false"/>
          <w:color w:val="000000"/>
        </w:rPr>
        <w:t xml:space="preserve">
      за 20____год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2091"/>
        <w:gridCol w:w="2073"/>
        <w:gridCol w:w="2073"/>
        <w:gridCol w:w="1564"/>
        <w:gridCol w:w="1251"/>
        <w:gridCol w:w="1251"/>
        <w:gridCol w:w="2093"/>
      </w:tblGrid>
      <w:tr>
        <w:trPr>
          <w:trHeight w:val="450" w:hRule="atLeast"/>
        </w:trPr>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выставок </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экскурсий </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посещений </w:t>
            </w:r>
            <w:r>
              <w:br/>
            </w:r>
            <w:r>
              <w:rPr>
                <w:rFonts w:ascii="Times New Roman"/>
                <w:b w:val="false"/>
                <w:i w:val="false"/>
                <w:color w:val="000000"/>
                <w:sz w:val="20"/>
              </w:rPr>
              <w:t xml:space="preserve">
(тыс. чел)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(тыс. тенге) </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Примечание </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реа- </w:t>
            </w:r>
            <w:r>
              <w:br/>
            </w:r>
            <w:r>
              <w:rPr>
                <w:rFonts w:ascii="Times New Roman"/>
                <w:b w:val="false"/>
                <w:i w:val="false"/>
                <w:color w:val="000000"/>
                <w:sz w:val="20"/>
              </w:rPr>
              <w:t xml:space="preserve">
лизации билетов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Аренда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p>
        </w:tc>
        <w:tc>
          <w:tcPr>
            <w:tcW w:w="0" w:type="auto"/>
            <w:vMerge/>
            <w:tcBorders>
              <w:top w:val="nil"/>
              <w:left w:val="single" w:color="cfcfcf" w:sz="5"/>
              <w:bottom w:val="single" w:color="cfcfcf" w:sz="5"/>
              <w:right w:val="single" w:color="cfcfcf" w:sz="5"/>
            </w:tcBorders>
          </w:tcPr>
          <w:p/>
        </w:tc>
      </w:tr>
      <w:tr>
        <w:trPr>
          <w:trHeight w:val="45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 w:id="1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выделения бюджетных    </w:t>
      </w:r>
      <w:r>
        <w:br/>
      </w:r>
      <w:r>
        <w:rPr>
          <w:rFonts w:ascii="Times New Roman"/>
          <w:b w:val="false"/>
          <w:i w:val="false"/>
          <w:color w:val="000000"/>
          <w:sz w:val="28"/>
        </w:rPr>
        <w:t xml:space="preserve">
субсидий на покрытие убытков,   </w:t>
      </w:r>
      <w:r>
        <w:br/>
      </w:r>
      <w:r>
        <w:rPr>
          <w:rFonts w:ascii="Times New Roman"/>
          <w:b w:val="false"/>
          <w:i w:val="false"/>
          <w:color w:val="000000"/>
          <w:sz w:val="28"/>
        </w:rPr>
        <w:t xml:space="preserve">
связанных с обеспечением      </w:t>
      </w:r>
      <w:r>
        <w:br/>
      </w:r>
      <w:r>
        <w:rPr>
          <w:rFonts w:ascii="Times New Roman"/>
          <w:b w:val="false"/>
          <w:i w:val="false"/>
          <w:color w:val="000000"/>
          <w:sz w:val="28"/>
        </w:rPr>
        <w:t xml:space="preserve">
сохранности, учета,      </w:t>
      </w:r>
      <w:r>
        <w:br/>
      </w:r>
      <w:r>
        <w:rPr>
          <w:rFonts w:ascii="Times New Roman"/>
          <w:b w:val="false"/>
          <w:i w:val="false"/>
          <w:color w:val="000000"/>
          <w:sz w:val="28"/>
        </w:rPr>
        <w:t xml:space="preserve">
комплектования и реставрации   </w:t>
      </w:r>
      <w:r>
        <w:br/>
      </w:r>
      <w:r>
        <w:rPr>
          <w:rFonts w:ascii="Times New Roman"/>
          <w:b w:val="false"/>
          <w:i w:val="false"/>
          <w:color w:val="000000"/>
          <w:sz w:val="28"/>
        </w:rPr>
        <w:t xml:space="preserve">
историко-культурных ценностей  </w:t>
      </w:r>
    </w:p>
    <w:bookmarkEnd w:id="14"/>
    <w:p>
      <w:pPr>
        <w:spacing w:after="0"/>
        <w:ind w:left="0"/>
        <w:jc w:val="left"/>
      </w:pPr>
      <w:r>
        <w:rPr>
          <w:rFonts w:ascii="Times New Roman"/>
          <w:b/>
          <w:i w:val="false"/>
          <w:color w:val="000000"/>
        </w:rPr>
        <w:t xml:space="preserve"> План расходов </w:t>
      </w:r>
      <w:r>
        <w:br/>
      </w:r>
      <w:r>
        <w:rPr>
          <w:rFonts w:ascii="Times New Roman"/>
          <w:b/>
          <w:i w:val="false"/>
          <w:color w:val="000000"/>
        </w:rPr>
        <w:t xml:space="preserve">
_______________________________________ </w:t>
      </w:r>
      <w:r>
        <w:br/>
      </w:r>
      <w:r>
        <w:rPr>
          <w:rFonts w:ascii="Times New Roman"/>
          <w:b/>
          <w:i w:val="false"/>
          <w:color w:val="000000"/>
        </w:rPr>
        <w:t xml:space="preserve">
(наименование юридического лица) </w:t>
      </w:r>
      <w:r>
        <w:br/>
      </w:r>
      <w:r>
        <w:rPr>
          <w:rFonts w:ascii="Times New Roman"/>
          <w:b/>
          <w:i w:val="false"/>
          <w:color w:val="000000"/>
        </w:rPr>
        <w:t xml:space="preserve">
  </w:t>
      </w:r>
      <w:r>
        <w:br/>
      </w:r>
      <w:r>
        <w:rPr>
          <w:rFonts w:ascii="Times New Roman"/>
          <w:b/>
          <w:i w:val="false"/>
          <w:color w:val="000000"/>
        </w:rPr>
        <w:t xml:space="preserve">
      за 20____год </w:t>
      </w:r>
    </w:p>
    <w:p>
      <w:pPr>
        <w:spacing w:after="0"/>
        <w:ind w:left="0"/>
        <w:jc w:val="both"/>
      </w:pPr>
      <w:r>
        <w:rPr>
          <w:rFonts w:ascii="Times New Roman"/>
          <w:b w:val="false"/>
          <w:i w:val="false"/>
          <w:color w:val="000000"/>
          <w:sz w:val="28"/>
        </w:rPr>
        <w:t xml:space="preserve">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2"/>
        <w:gridCol w:w="7584"/>
        <w:gridCol w:w="2128"/>
        <w:gridCol w:w="2166"/>
      </w:tblGrid>
      <w:tr>
        <w:trPr>
          <w:trHeight w:val="45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показателей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Примечание </w:t>
            </w:r>
          </w:p>
        </w:tc>
      </w:tr>
      <w:tr>
        <w:trPr>
          <w:trHeight w:val="45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 w:id="15"/>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выделения бюджетных    </w:t>
      </w:r>
      <w:r>
        <w:br/>
      </w:r>
      <w:r>
        <w:rPr>
          <w:rFonts w:ascii="Times New Roman"/>
          <w:b w:val="false"/>
          <w:i w:val="false"/>
          <w:color w:val="000000"/>
          <w:sz w:val="28"/>
        </w:rPr>
        <w:t xml:space="preserve">
субсидий на покрытие убытков,   </w:t>
      </w:r>
      <w:r>
        <w:br/>
      </w:r>
      <w:r>
        <w:rPr>
          <w:rFonts w:ascii="Times New Roman"/>
          <w:b w:val="false"/>
          <w:i w:val="false"/>
          <w:color w:val="000000"/>
          <w:sz w:val="28"/>
        </w:rPr>
        <w:t xml:space="preserve">
связанных с обеспечением      </w:t>
      </w:r>
      <w:r>
        <w:br/>
      </w:r>
      <w:r>
        <w:rPr>
          <w:rFonts w:ascii="Times New Roman"/>
          <w:b w:val="false"/>
          <w:i w:val="false"/>
          <w:color w:val="000000"/>
          <w:sz w:val="28"/>
        </w:rPr>
        <w:t xml:space="preserve">
сохранности, учета,      </w:t>
      </w:r>
      <w:r>
        <w:br/>
      </w:r>
      <w:r>
        <w:rPr>
          <w:rFonts w:ascii="Times New Roman"/>
          <w:b w:val="false"/>
          <w:i w:val="false"/>
          <w:color w:val="000000"/>
          <w:sz w:val="28"/>
        </w:rPr>
        <w:t xml:space="preserve">
комплектования и реставрации   </w:t>
      </w:r>
      <w:r>
        <w:br/>
      </w:r>
      <w:r>
        <w:rPr>
          <w:rFonts w:ascii="Times New Roman"/>
          <w:b w:val="false"/>
          <w:i w:val="false"/>
          <w:color w:val="000000"/>
          <w:sz w:val="28"/>
        </w:rPr>
        <w:t xml:space="preserve">
историко-культурных ценностей  </w:t>
      </w:r>
    </w:p>
    <w:bookmarkEnd w:id="15"/>
    <w:p>
      <w:pPr>
        <w:spacing w:after="0"/>
        <w:ind w:left="0"/>
        <w:jc w:val="left"/>
      </w:pPr>
      <w:r>
        <w:rPr>
          <w:rFonts w:ascii="Times New Roman"/>
          <w:b/>
          <w:i w:val="false"/>
          <w:color w:val="000000"/>
        </w:rPr>
        <w:t xml:space="preserve"> Расчет покрытия убытков государственных музеев </w:t>
      </w:r>
      <w:r>
        <w:br/>
      </w:r>
      <w:r>
        <w:rPr>
          <w:rFonts w:ascii="Times New Roman"/>
          <w:b/>
          <w:i w:val="false"/>
          <w:color w:val="000000"/>
        </w:rPr>
        <w:t xml:space="preserve">
_______________________________________ </w:t>
      </w:r>
      <w:r>
        <w:br/>
      </w:r>
      <w:r>
        <w:rPr>
          <w:rFonts w:ascii="Times New Roman"/>
          <w:b/>
          <w:i w:val="false"/>
          <w:color w:val="000000"/>
        </w:rPr>
        <w:t xml:space="preserve">
(наименование юридического лица) </w:t>
      </w:r>
      <w:r>
        <w:br/>
      </w:r>
      <w:r>
        <w:rPr>
          <w:rFonts w:ascii="Times New Roman"/>
          <w:b/>
          <w:i w:val="false"/>
          <w:color w:val="000000"/>
        </w:rPr>
        <w:t xml:space="preserve">
  </w:t>
      </w:r>
      <w:r>
        <w:br/>
      </w:r>
      <w:r>
        <w:rPr>
          <w:rFonts w:ascii="Times New Roman"/>
          <w:b/>
          <w:i w:val="false"/>
          <w:color w:val="000000"/>
        </w:rPr>
        <w:t xml:space="preserve">
      на_________месяц 20____года </w:t>
      </w:r>
    </w:p>
    <w:p>
      <w:pPr>
        <w:spacing w:after="0"/>
        <w:ind w:left="0"/>
        <w:jc w:val="both"/>
      </w:pPr>
      <w:r>
        <w:rPr>
          <w:rFonts w:ascii="Times New Roman"/>
          <w:b w:val="false"/>
          <w:i w:val="false"/>
          <w:color w:val="000000"/>
          <w:sz w:val="28"/>
        </w:rPr>
        <w:t xml:space="preserve">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7"/>
        <w:gridCol w:w="4787"/>
        <w:gridCol w:w="2736"/>
      </w:tblGrid>
      <w:tr>
        <w:trPr>
          <w:trHeight w:val="450" w:hRule="atLeast"/>
        </w:trPr>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Себестоимость реализуемых услуг </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собственных доходов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субсидий </w:t>
            </w:r>
          </w:p>
        </w:tc>
      </w:tr>
      <w:tr>
        <w:trPr>
          <w:trHeight w:val="450" w:hRule="atLeast"/>
        </w:trPr>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