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7dea" w14:textId="f117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w:t>
      </w:r>
    </w:p>
    <w:p>
      <w:pPr>
        <w:spacing w:after="0"/>
        <w:ind w:left="0"/>
        <w:jc w:val="both"/>
      </w:pPr>
      <w:r>
        <w:rPr>
          <w:rFonts w:ascii="Times New Roman"/>
          <w:b w:val="false"/>
          <w:i w:val="false"/>
          <w:color w:val="000000"/>
          <w:sz w:val="28"/>
        </w:rPr>
        <w:t>Постановление Правительства Республики Казахстан от 3 декабря 2007 года N 1164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письма-соглашения между Республикой Казахстан и Международным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Банком Реконструкции и Развития о выделении гранта для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проекта "Восстановление окружающей среды города Усть-Каменогорска"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Одобрить прилагаемый проект письма-соглашения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
</w:t>
      </w:r>
    </w:p>
    <w:p>
      <w:pPr>
        <w:spacing w:after="0"/>
        <w:ind w:left="0"/>
        <w:jc w:val="both"/>
      </w:pPr>
      <w:r>
        <w:rPr>
          <w:rFonts w:ascii="Times New Roman"/>
          <w:b w:val="false"/>
          <w:i w:val="false"/>
          <w:color w:val="000000"/>
          <w:sz w:val="28"/>
        </w:rPr>
        <w:t>
</w:t>
      </w:r>
      <w:r>
        <w:rPr>
          <w:rFonts w:ascii="Times New Roman"/>
          <w:b w:val="false"/>
          <w:i w:val="false"/>
          <w:color w:val="000000"/>
          <w:sz w:val="28"/>
        </w:rPr>
        <w:t>
      2. Уполномочить Министра сельского хозяйства Республики Казахстан Есимова Ахметжана Смагуловича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Указ вводится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16 февраля 2007 г.   
</w:t>
      </w:r>
    </w:p>
    <w:p>
      <w:pPr>
        <w:spacing w:after="0"/>
        <w:ind w:left="0"/>
        <w:jc w:val="both"/>
      </w:pPr>
      <w:r>
        <w:rPr>
          <w:rFonts w:ascii="Times New Roman"/>
          <w:b w:val="false"/>
          <w:i w:val="false"/>
          <w:color w:val="000000"/>
          <w:sz w:val="28"/>
        </w:rPr>
        <w:t>
Г-ну Есимову А.С.
</w:t>
      </w:r>
      <w:r>
        <w:br/>
      </w:r>
      <w:r>
        <w:rPr>
          <w:rFonts w:ascii="Times New Roman"/>
          <w:b w:val="false"/>
          <w:i w:val="false"/>
          <w:color w:val="000000"/>
          <w:sz w:val="28"/>
        </w:rPr>
        <w:t>
Министру сельского хозяйства
</w:t>
      </w:r>
      <w:r>
        <w:br/>
      </w:r>
      <w:r>
        <w:rPr>
          <w:rFonts w:ascii="Times New Roman"/>
          <w:b w:val="false"/>
          <w:i w:val="false"/>
          <w:color w:val="000000"/>
          <w:sz w:val="28"/>
        </w:rPr>
        <w:t>
Министерство сельского хозяйства
</w:t>
      </w:r>
      <w:r>
        <w:br/>
      </w:r>
      <w:r>
        <w:rPr>
          <w:rFonts w:ascii="Times New Roman"/>
          <w:b w:val="false"/>
          <w:i w:val="false"/>
          <w:color w:val="000000"/>
          <w:sz w:val="28"/>
        </w:rPr>
        <w:t>
Ул. Кенесары, 36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Относительно: Грант Европейского Сообщества N TF058070
</w:t>
      </w:r>
      <w:r>
        <w:br/>
      </w:r>
      <w:r>
        <w:rPr>
          <w:rFonts w:ascii="Times New Roman"/>
          <w:b w:val="false"/>
          <w:i w:val="false"/>
          <w:color w:val="000000"/>
          <w:sz w:val="28"/>
        </w:rPr>
        <w:t>
              Проект восстановления окружающей среды Усть-Каменогорска
</w:t>
      </w:r>
    </w:p>
    <w:p>
      <w:pPr>
        <w:spacing w:after="0"/>
        <w:ind w:left="0"/>
        <w:jc w:val="both"/>
      </w:pPr>
      <w:r>
        <w:rPr>
          <w:rFonts w:ascii="Times New Roman"/>
          <w:b w:val="false"/>
          <w:i w:val="false"/>
          <w:color w:val="000000"/>
          <w:sz w:val="28"/>
        </w:rPr>
        <w:t>
Уважаемый г-н Министр,
</w:t>
      </w:r>
    </w:p>
    <w:p>
      <w:pPr>
        <w:spacing w:after="0"/>
        <w:ind w:left="0"/>
        <w:jc w:val="both"/>
      </w:pPr>
      <w:r>
        <w:rPr>
          <w:rFonts w:ascii="Times New Roman"/>
          <w:b w:val="false"/>
          <w:i w:val="false"/>
          <w:color w:val="000000"/>
          <w:sz w:val="28"/>
        </w:rPr>
        <w:t>
      Я рада сообщить Вам о том, что в ответ на поступившую от имени Республики Казахстан (Получатель) просьбу о предоставлении финансовой помощи, Международный Банк Реконструкции и Развития (Всемирный Банк), выступающий в качестве администратора грантовых средств, выделяемых Европейским Сообществом из Единого донорского трастового фонда, планирует предоставить Получателю грант в размере, не превышающем трех миллионов четырехсот тридцати тысяч (3 430 000) евро (Грант) на сроки и на условиях, изложенных или упоминаемых в настоящем письме-соглашении (Соглашении) с Приложением, для содействия в финансировании описываемого в Приложении проекта (Проект).
</w:t>
      </w:r>
      <w:r>
        <w:br/>
      </w:r>
      <w:r>
        <w:rPr>
          <w:rFonts w:ascii="Times New Roman"/>
          <w:b w:val="false"/>
          <w:i w:val="false"/>
          <w:color w:val="000000"/>
          <w:sz w:val="28"/>
        </w:rPr>
        <w:t>
      Подтверждая ниже свое согласие, Получатель заявляет о своих полномочиях на заключение настоящего Соглашения и реализацию Проекта в соответствии со сроками и условиями, изложенными или упоминаемыми в настоящем Соглашении.
</w:t>
      </w:r>
      <w:r>
        <w:br/>
      </w:r>
      <w:r>
        <w:rPr>
          <w:rFonts w:ascii="Times New Roman"/>
          <w:b w:val="false"/>
          <w:i w:val="false"/>
          <w:color w:val="000000"/>
          <w:sz w:val="28"/>
        </w:rPr>
        <w:t>
      Прошу подтвердить Ваше согласие с вышесказанным от имени Получателя, проставив свою подпись и дату и возвратив Всемирному Банку прилагаемый экземпляр настоящего Соглашения. По получении Всемирным Банком подписанного Вами экземпляра, настоящее Соглашение обретает силу с даты, указанной Всемирным Банком в соответствии с Разделом 5.01 Приложения к настоящему Соглашению; однако в том случае, если в течение 180 дней с момента подписания Всемирным Банком настоящего Соглашения Всемирный Банк не получит подписанный Вами экземпляр настоящего Соглашения, предложение о заключении настоящего Соглашения будет считаться аннулированным, при условии, что Всемирным Банком для этой цели не будет установлен более поздний срок.
</w:t>
      </w:r>
    </w:p>
    <w:p>
      <w:pPr>
        <w:spacing w:after="0"/>
        <w:ind w:left="0"/>
        <w:jc w:val="both"/>
      </w:pPr>
      <w:r>
        <w:rPr>
          <w:rFonts w:ascii="Times New Roman"/>
          <w:b w:val="false"/>
          <w:i w:val="false"/>
          <w:color w:val="000000"/>
          <w:sz w:val="28"/>
        </w:rPr>
        <w:t>
С искренним уважением,
</w:t>
      </w:r>
      <w:r>
        <w:br/>
      </w:r>
      <w:r>
        <w:rPr>
          <w:rFonts w:ascii="Times New Roman"/>
          <w:b w:val="false"/>
          <w:i w:val="false"/>
          <w:color w:val="000000"/>
          <w:sz w:val="28"/>
        </w:rPr>
        <w:t>
от имени и по поручению
</w:t>
      </w:r>
      <w:r>
        <w:br/>
      </w:r>
      <w:r>
        <w:rPr>
          <w:rFonts w:ascii="Times New Roman"/>
          <w:b w:val="false"/>
          <w:i w:val="false"/>
          <w:color w:val="000000"/>
          <w:sz w:val="28"/>
        </w:rPr>
        <w:t>
МЕЖДУНАРОДНОГО БАНКА РЕКОНСТРУКЦИИ И РАЗВИТИЯ
</w:t>
      </w:r>
    </w:p>
    <w:p>
      <w:pPr>
        <w:spacing w:after="0"/>
        <w:ind w:left="0"/>
        <w:jc w:val="both"/>
      </w:pPr>
      <w:r>
        <w:rPr>
          <w:rFonts w:ascii="Times New Roman"/>
          <w:b w:val="false"/>
          <w:i w:val="false"/>
          <w:color w:val="000000"/>
          <w:sz w:val="28"/>
        </w:rPr>
        <w:t>
______________
</w:t>
      </w:r>
      <w:r>
        <w:br/>
      </w:r>
      <w:r>
        <w:rPr>
          <w:rFonts w:ascii="Times New Roman"/>
          <w:b w:val="false"/>
          <w:i w:val="false"/>
          <w:color w:val="000000"/>
          <w:sz w:val="28"/>
        </w:rPr>
        <w:t>
Аннет Диксон
</w:t>
      </w:r>
      <w:r>
        <w:br/>
      </w:r>
      <w:r>
        <w:rPr>
          <w:rFonts w:ascii="Times New Roman"/>
          <w:b w:val="false"/>
          <w:i w:val="false"/>
          <w:color w:val="000000"/>
          <w:sz w:val="28"/>
        </w:rPr>
        <w:t>
Директор
</w:t>
      </w:r>
      <w:r>
        <w:br/>
      </w:r>
      <w:r>
        <w:rPr>
          <w:rFonts w:ascii="Times New Roman"/>
          <w:b w:val="false"/>
          <w:i w:val="false"/>
          <w:color w:val="000000"/>
          <w:sz w:val="28"/>
        </w:rPr>
        <w:t>
Региональный офис по странам Центральной Азии
</w:t>
      </w:r>
      <w:r>
        <w:br/>
      </w:r>
      <w:r>
        <w:rPr>
          <w:rFonts w:ascii="Times New Roman"/>
          <w:b w:val="false"/>
          <w:i w:val="false"/>
          <w:color w:val="000000"/>
          <w:sz w:val="28"/>
        </w:rPr>
        <w:t>
Региональное управление по странам Европы и Центральной Азии
</w:t>
      </w:r>
    </w:p>
    <w:p>
      <w:pPr>
        <w:spacing w:after="0"/>
        <w:ind w:left="0"/>
        <w:jc w:val="both"/>
      </w:pPr>
      <w:r>
        <w:rPr>
          <w:rFonts w:ascii="Times New Roman"/>
          <w:b w:val="false"/>
          <w:i w:val="false"/>
          <w:color w:val="000000"/>
          <w:sz w:val="28"/>
        </w:rPr>
        <w:t>
СОГЛАСОВАНО: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подпись ____________
</w:t>
      </w:r>
      <w:r>
        <w:br/>
      </w:r>
      <w:r>
        <w:rPr>
          <w:rFonts w:ascii="Times New Roman"/>
          <w:b w:val="false"/>
          <w:i w:val="false"/>
          <w:color w:val="000000"/>
          <w:sz w:val="28"/>
        </w:rPr>
        <w:t>
ФИО ________________
</w:t>
      </w:r>
      <w:r>
        <w:br/>
      </w:r>
      <w:r>
        <w:rPr>
          <w:rFonts w:ascii="Times New Roman"/>
          <w:b w:val="false"/>
          <w:i w:val="false"/>
          <w:color w:val="000000"/>
          <w:sz w:val="28"/>
        </w:rPr>
        <w:t>
Должность __________
</w:t>
      </w:r>
      <w:r>
        <w:br/>
      </w:r>
      <w:r>
        <w:rPr>
          <w:rFonts w:ascii="Times New Roman"/>
          <w:b w:val="false"/>
          <w:i w:val="false"/>
          <w:color w:val="000000"/>
          <w:sz w:val="28"/>
        </w:rPr>
        <w:t>
Дата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Грант Европейского Сообщества N TF058070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w:t>
      </w:r>
      <w:r>
        <w:rPr>
          <w:rFonts w:ascii="Times New Roman"/>
          <w:b/>
          <w:i w:val="false"/>
          <w:color w:val="000000"/>
          <w:sz w:val="28"/>
        </w:rPr>
        <w:t>
</w:t>
      </w:r>
      <w:r>
        <w:rPr>
          <w:rFonts w:ascii="Times New Roman"/>
          <w:b/>
          <w:i/>
          <w:color w:val="000000"/>
          <w:sz w:val="28"/>
        </w:rPr>
        <w:t>
Общие условия
</w:t>
      </w:r>
      <w:r>
        <w:rPr>
          <w:rFonts w:ascii="Times New Roman"/>
          <w:b/>
          <w:i w:val="false"/>
          <w:color w:val="000000"/>
          <w:sz w:val="28"/>
        </w:rPr>
        <w:t>
</w:t>
      </w:r>
      <w:r>
        <w:rPr>
          <w:rFonts w:ascii="Times New Roman"/>
          <w:b w:val="false"/>
          <w:i w:val="false"/>
          <w:color w:val="000000"/>
          <w:sz w:val="28"/>
        </w:rPr>
        <w:t>
. Общие условия для грантов, предоставляемых Всемирным Банком из различных источников, в редакции от 20 июля 2006 года (Общие условия) составляют неотъемлемую часть настоящего Соглашения.
</w:t>
      </w:r>
      <w:r>
        <w:br/>
      </w:r>
      <w:r>
        <w:rPr>
          <w:rFonts w:ascii="Times New Roman"/>
          <w:b w:val="false"/>
          <w:i w:val="false"/>
          <w:color w:val="000000"/>
          <w:sz w:val="28"/>
        </w:rPr>
        <w:t>
      1.02. 
</w:t>
      </w:r>
      <w:r>
        <w:rPr>
          <w:rFonts w:ascii="Times New Roman"/>
          <w:b/>
          <w:i w:val="false"/>
          <w:color w:val="000000"/>
          <w:sz w:val="28"/>
        </w:rPr>
        <w:t>
</w:t>
      </w:r>
      <w:r>
        <w:rPr>
          <w:rFonts w:ascii="Times New Roman"/>
          <w:b/>
          <w:i/>
          <w:color w:val="000000"/>
          <w:sz w:val="28"/>
        </w:rPr>
        <w:t>
Определения
</w:t>
      </w:r>
      <w:r>
        <w:rPr>
          <w:rFonts w:ascii="Times New Roman"/>
          <w:b/>
          <w:i w:val="false"/>
          <w:color w:val="000000"/>
          <w:sz w:val="28"/>
        </w:rPr>
        <w:t>
</w:t>
      </w:r>
      <w:r>
        <w:rPr>
          <w:rFonts w:ascii="Times New Roman"/>
          <w:b w:val="false"/>
          <w:i w:val="false"/>
          <w:color w:val="000000"/>
          <w:sz w:val="28"/>
        </w:rPr>
        <w:t>
. Если из контекста не следует иное, обозначенные заглавными буквами термины, используемые в настоящем Соглашении, имеют соответствующие значения, закрепленные за ними Общими условиями или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w:t>
      </w:r>
      <w:r>
        <w:rPr>
          <w:rFonts w:ascii="Times New Roman"/>
          <w:b/>
          <w:i w:val="false"/>
          <w:color w:val="000000"/>
          <w:sz w:val="28"/>
        </w:rPr>
        <w:t>
</w:t>
      </w:r>
      <w:r>
        <w:rPr>
          <w:rFonts w:ascii="Times New Roman"/>
          <w:b/>
          <w:i/>
          <w:color w:val="000000"/>
          <w:sz w:val="28"/>
        </w:rPr>
        <w:t>
Цели и описание Проекта
</w:t>
      </w:r>
      <w:r>
        <w:rPr>
          <w:rFonts w:ascii="Times New Roman"/>
          <w:b/>
          <w:i w:val="false"/>
          <w:color w:val="000000"/>
          <w:sz w:val="28"/>
        </w:rPr>
        <w:t>
</w:t>
      </w:r>
      <w:r>
        <w:rPr>
          <w:rFonts w:ascii="Times New Roman"/>
          <w:b w:val="false"/>
          <w:i w:val="false"/>
          <w:color w:val="000000"/>
          <w:sz w:val="28"/>
        </w:rPr>
        <w:t>
. Цели Проекта заключаются в: (а) предотвращении загрязнения грунтовых вод и дальнейшей миграции шлейфа токсичных отходов в сторону жилых районов, источников питьевого водоснабжения города и, в конечном счете, реки Иртыш; и (b) усилении институциональных механизмов мониторинга качества воды с целью обеспечения контроля над текущим загрязнением грунтовых вод из местных муниципальных и промышленных источников. Проект состоит из следующих компонентов:
</w:t>
      </w:r>
      <w:r>
        <w:br/>
      </w:r>
      <w:r>
        <w:rPr>
          <w:rFonts w:ascii="Times New Roman"/>
          <w:b w:val="false"/>
          <w:i w:val="false"/>
          <w:color w:val="000000"/>
          <w:sz w:val="28"/>
        </w:rPr>
        <w:t>
</w:t>
      </w:r>
      <w:r>
        <w:rPr>
          <w:rFonts w:ascii="Times New Roman"/>
          <w:b/>
          <w:i w:val="false"/>
          <w:color w:val="000000"/>
          <w:sz w:val="28"/>
        </w:rPr>
        <w:t>
Часть А
</w:t>
      </w:r>
      <w:r>
        <w:rPr>
          <w:rFonts w:ascii="Times New Roman"/>
          <w:b w:val="false"/>
          <w:i w:val="false"/>
          <w:color w:val="000000"/>
          <w:sz w:val="28"/>
        </w:rPr>
        <w:t>
: Содействие Правительству Получателя в создании системы мониторинга качества грунтовых вод, поставке оборудования для обнаружения утечек и ремонтного оборудования, и реализации программы сокращения и контроля над утечками, сосредоточенной на устранении утечек в трубах, расположенных около контрольных и водозаборных скважин, с целью обеспечения более точного мониторинга загрязнений грунтовых вод и сокращения эксплуатационных расходов водоочистной станции.
</w:t>
      </w:r>
      <w:r>
        <w:br/>
      </w:r>
      <w:r>
        <w:rPr>
          <w:rFonts w:ascii="Times New Roman"/>
          <w:b w:val="false"/>
          <w:i w:val="false"/>
          <w:color w:val="000000"/>
          <w:sz w:val="28"/>
        </w:rPr>
        <w:t>
</w:t>
      </w:r>
      <w:r>
        <w:rPr>
          <w:rFonts w:ascii="Times New Roman"/>
          <w:b/>
          <w:i w:val="false"/>
          <w:color w:val="000000"/>
          <w:sz w:val="28"/>
        </w:rPr>
        <w:t>
Часть Б
</w:t>
      </w:r>
      <w:r>
        <w:rPr>
          <w:rFonts w:ascii="Times New Roman"/>
          <w:b w:val="false"/>
          <w:i w:val="false"/>
          <w:color w:val="000000"/>
          <w:sz w:val="28"/>
        </w:rPr>
        <w:t>
: Предоставление Правительству Получателя помощи в проведении мероприятий по подготовке к реализации стадии мониторинга и проектирования Проекта, наряду с укреплением институционального потенциала.
</w:t>
      </w:r>
      <w:r>
        <w:br/>
      </w:r>
      <w:r>
        <w:rPr>
          <w:rFonts w:ascii="Times New Roman"/>
          <w:b w:val="false"/>
          <w:i w:val="false"/>
          <w:color w:val="000000"/>
          <w:sz w:val="28"/>
        </w:rPr>
        <w:t>
      2.02. 
</w:t>
      </w:r>
      <w:r>
        <w:rPr>
          <w:rFonts w:ascii="Times New Roman"/>
          <w:b/>
          <w:i w:val="false"/>
          <w:color w:val="000000"/>
          <w:sz w:val="28"/>
        </w:rPr>
        <w:t>
</w:t>
      </w:r>
      <w:r>
        <w:rPr>
          <w:rFonts w:ascii="Times New Roman"/>
          <w:b/>
          <w:i/>
          <w:color w:val="000000"/>
          <w:sz w:val="28"/>
        </w:rPr>
        <w:t>
Реализация Проекта в целом.
</w:t>
      </w:r>
      <w:r>
        <w:rPr>
          <w:rFonts w:ascii="Times New Roman"/>
          <w:b/>
          <w:i w:val="false"/>
          <w:color w:val="000000"/>
          <w:sz w:val="28"/>
        </w:rPr>
        <w:t>
</w:t>
      </w:r>
      <w:r>
        <w:rPr>
          <w:rFonts w:ascii="Times New Roman"/>
          <w:b w:val="false"/>
          <w:i w:val="false"/>
          <w:color w:val="000000"/>
          <w:sz w:val="28"/>
        </w:rPr>
        <w:t>
 (а) Получатель заявляет о своей приверженности целям Проекта. С этой целью, Получатель, через Комитет по водным ресурсам (КВР) Министерства сельского хозяйства Республики Казахстан, обязуется реализовать Проект в соответствии с положениями Статьи II Общих условий и положениями настоящей Статьи II.
</w:t>
      </w:r>
      <w:r>
        <w:br/>
      </w:r>
      <w:r>
        <w:rPr>
          <w:rFonts w:ascii="Times New Roman"/>
          <w:b w:val="false"/>
          <w:i w:val="false"/>
          <w:color w:val="000000"/>
          <w:sz w:val="28"/>
        </w:rPr>
        <w:t>
      (b) В рамках реализации Проекта Получатель обязан содержать Группу управления проектом (ГУП) при КВР, состав, компетенция и ресурсы которой должны удовлетворять требованиям Всемирного Банка. ГУП отвечает за квалифицированное управление проектными мероприятиями, управление финансами, осуществление закупок, наблюдение за исполнением контрактов, мониторинг и отчетность.
</w:t>
      </w:r>
      <w:r>
        <w:br/>
      </w:r>
      <w:r>
        <w:rPr>
          <w:rFonts w:ascii="Times New Roman"/>
          <w:b w:val="false"/>
          <w:i w:val="false"/>
          <w:color w:val="000000"/>
          <w:sz w:val="28"/>
        </w:rPr>
        <w:t>
      (c) Получатель обеспечит предоставление КВР любых предложений по вопросам найма или увольнения сотрудников и консультантов ГУП на рассмотрение и утверждение во Всемирный Банк.
</w:t>
      </w:r>
      <w:r>
        <w:br/>
      </w:r>
      <w:r>
        <w:rPr>
          <w:rFonts w:ascii="Times New Roman"/>
          <w:b w:val="false"/>
          <w:i w:val="false"/>
          <w:color w:val="000000"/>
          <w:sz w:val="28"/>
        </w:rPr>
        <w:t>
      2.03. 
</w:t>
      </w:r>
      <w:r>
        <w:rPr>
          <w:rFonts w:ascii="Times New Roman"/>
          <w:b/>
          <w:i w:val="false"/>
          <w:color w:val="000000"/>
          <w:sz w:val="28"/>
        </w:rPr>
        <w:t>
</w:t>
      </w:r>
      <w:r>
        <w:rPr>
          <w:rFonts w:ascii="Times New Roman"/>
          <w:b/>
          <w:i/>
          <w:color w:val="000000"/>
          <w:sz w:val="28"/>
        </w:rPr>
        <w:t>
Мониторинг, отчетность и оценка Проекта.
</w:t>
      </w:r>
      <w:r>
        <w:rPr>
          <w:rFonts w:ascii="Times New Roman"/>
          <w:b/>
          <w:i w:val="false"/>
          <w:color w:val="000000"/>
          <w:sz w:val="28"/>
        </w:rPr>
        <w:t>
</w:t>
      </w:r>
      <w:r>
        <w:rPr>
          <w:rFonts w:ascii="Times New Roman"/>
          <w:b w:val="false"/>
          <w:i w:val="false"/>
          <w:color w:val="000000"/>
          <w:sz w:val="28"/>
        </w:rPr>
        <w:t>
 (а) Получатель, через КВР, осуществляет мониторинг и оценку прогресса реализации Проекта и составляет Отчеты по Проекту в соответствии с положениями Раздела 2.06 Общих условий и на основании индикаторов, изложенных в параграфе (b) настоящего Раздела. Каждый такой Отчет по проекту охватывает период продолжительностью в один (1) календарный квартал, и предоставляется Всемирному Банку в течение сорока пяти (45) дней с момента завершения охватываемого таким отчетом периода.
</w:t>
      </w:r>
      <w:r>
        <w:br/>
      </w:r>
      <w:r>
        <w:rPr>
          <w:rFonts w:ascii="Times New Roman"/>
          <w:b w:val="false"/>
          <w:i w:val="false"/>
          <w:color w:val="000000"/>
          <w:sz w:val="28"/>
        </w:rPr>
        <w:t>
      (b) Вышеупомянутые индикаторы, о которых говорится в пункте (а), заключаются в следующем:
</w:t>
      </w:r>
      <w:r>
        <w:br/>
      </w:r>
      <w:r>
        <w:rPr>
          <w:rFonts w:ascii="Times New Roman"/>
          <w:b w:val="false"/>
          <w:i w:val="false"/>
          <w:color w:val="000000"/>
          <w:sz w:val="28"/>
        </w:rPr>
        <w:t>
      (i) Укрепление потенциала местных институтов в части сокращения утечек воды на охватываемой Проектом территории; и
</w:t>
      </w:r>
      <w:r>
        <w:br/>
      </w:r>
      <w:r>
        <w:rPr>
          <w:rFonts w:ascii="Times New Roman"/>
          <w:b w:val="false"/>
          <w:i w:val="false"/>
          <w:color w:val="000000"/>
          <w:sz w:val="28"/>
        </w:rPr>
        <w:t>
      (ii) Укрепление потенциала местных институтов в части реализации задач в рамках программы мониторинга.
</w:t>
      </w:r>
      <w:r>
        <w:br/>
      </w:r>
      <w:r>
        <w:rPr>
          <w:rFonts w:ascii="Times New Roman"/>
          <w:b w:val="false"/>
          <w:i w:val="false"/>
          <w:color w:val="000000"/>
          <w:sz w:val="28"/>
        </w:rPr>
        <w:t>
      (c) Получатель, через КВР, составит Отчет о завершении реализации Проекта в соответствии с положениями Раздела 2.06 Общих условий. Отчет о завершении реализации Проекта должен быть представлен во Всемирный Банк в течение шести (6) месяцев с момента наступления Даты закрытия. Для содействия Получателю в составлении Отчета о завершении реализации Проекта, Получатель привлечет консультантов, квалификация, опыт и компетенция которых будут удовлетворять требованиям Всемирного Банка.
</w:t>
      </w:r>
      <w:r>
        <w:br/>
      </w:r>
      <w:r>
        <w:rPr>
          <w:rFonts w:ascii="Times New Roman"/>
          <w:b w:val="false"/>
          <w:i w:val="false"/>
          <w:color w:val="000000"/>
          <w:sz w:val="28"/>
        </w:rPr>
        <w:t>
      2.04. 
</w:t>
      </w:r>
      <w:r>
        <w:rPr>
          <w:rFonts w:ascii="Times New Roman"/>
          <w:b/>
          <w:i w:val="false"/>
          <w:color w:val="000000"/>
          <w:sz w:val="28"/>
        </w:rPr>
        <w:t>
</w:t>
      </w:r>
      <w:r>
        <w:rPr>
          <w:rFonts w:ascii="Times New Roman"/>
          <w:b/>
          <w:i/>
          <w:color w:val="000000"/>
          <w:sz w:val="28"/>
        </w:rPr>
        <w:t>
Управление финансами.
</w:t>
      </w:r>
      <w:r>
        <w:rPr>
          <w:rFonts w:ascii="Times New Roman"/>
          <w:b/>
          <w:i w:val="false"/>
          <w:color w:val="000000"/>
          <w:sz w:val="28"/>
        </w:rPr>
        <w:t>
</w:t>
      </w:r>
      <w:r>
        <w:rPr>
          <w:rFonts w:ascii="Times New Roman"/>
          <w:b w:val="false"/>
          <w:i w:val="false"/>
          <w:color w:val="000000"/>
          <w:sz w:val="28"/>
        </w:rPr>
        <w:t>
 (а) Получатель, через КВР, обеспечит работу системы управления финансами в соответствии с положениями Раздела 2.07 Общих условий.
</w:t>
      </w:r>
      <w:r>
        <w:br/>
      </w:r>
      <w:r>
        <w:rPr>
          <w:rFonts w:ascii="Times New Roman"/>
          <w:b w:val="false"/>
          <w:i w:val="false"/>
          <w:color w:val="000000"/>
          <w:sz w:val="28"/>
        </w:rPr>
        <w:t>
      (b) Получатель, через КВР, обеспечит составление и предоставление во Всемирный Банк, в течение сорока пяти (45) дней с момента завершения каждого календарного квартала, промежуточных, непроверенных аудитором, финансовых отчетов по Проекту за данный квартал, форма и содержание которых должна удовлетворять требованиям Всемирного Банка.
</w:t>
      </w:r>
      <w:r>
        <w:br/>
      </w:r>
      <w:r>
        <w:rPr>
          <w:rFonts w:ascii="Times New Roman"/>
          <w:b w:val="false"/>
          <w:i w:val="false"/>
          <w:color w:val="000000"/>
          <w:sz w:val="28"/>
        </w:rPr>
        <w:t>
      (c) Получатель, через КВР, обязан проводить аудит своей финансовой отчетности в соответствии с положениями Раздела 2.07 (b) Общих условий. Каждый аудит финансовой отчетности должен охватывать период продолжительностью в один (1) финансовый год Заемщика. Проверенные аудитором финансовые отчеты за каждый такой период должны представляться во Всемирный Банк в течение шести (6) месяцев с момента завершения каждого такого периода.
</w:t>
      </w:r>
      <w:r>
        <w:br/>
      </w:r>
      <w:r>
        <w:rPr>
          <w:rFonts w:ascii="Times New Roman"/>
          <w:b w:val="false"/>
          <w:i w:val="false"/>
          <w:color w:val="000000"/>
          <w:sz w:val="28"/>
        </w:rPr>
        <w:t>
      2.05. 
</w:t>
      </w:r>
      <w:r>
        <w:rPr>
          <w:rFonts w:ascii="Times New Roman"/>
          <w:b/>
          <w:i w:val="false"/>
          <w:color w:val="000000"/>
          <w:sz w:val="28"/>
        </w:rPr>
        <w:t>
</w:t>
      </w:r>
      <w:r>
        <w:rPr>
          <w:rFonts w:ascii="Times New Roman"/>
          <w:b/>
          <w:i/>
          <w:color w:val="000000"/>
          <w:sz w:val="28"/>
        </w:rPr>
        <w:t>
Закупки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(a) 
</w:t>
      </w:r>
      <w:r>
        <w:rPr>
          <w:rFonts w:ascii="Times New Roman"/>
          <w:b w:val="false"/>
          <w:i w:val="false"/>
          <w:color w:val="000000"/>
          <w:sz w:val="28"/>
          <w:u w:val="single"/>
        </w:rPr>
        <w:t>
Общие положения
</w:t>
      </w:r>
      <w:r>
        <w:rPr>
          <w:rFonts w:ascii="Times New Roman"/>
          <w:b w:val="false"/>
          <w:i w:val="false"/>
          <w:color w:val="000000"/>
          <w:sz w:val="28"/>
        </w:rPr>
        <w:t>
: Все необходимые для Проекта товары и услуги, которые должны финансироваться из средств Гранта, закупаются в соответствии с требованиями, изложенными или упомянутыми в:
</w:t>
      </w:r>
      <w:r>
        <w:br/>
      </w:r>
      <w:r>
        <w:rPr>
          <w:rFonts w:ascii="Times New Roman"/>
          <w:b w:val="false"/>
          <w:i w:val="false"/>
          <w:color w:val="000000"/>
          <w:sz w:val="28"/>
        </w:rPr>
        <w:t>
      (i) Разделе I "Руководства по закупкам в рамках займов МБРР и кредитов MAP", опубликованного Всемирным Банком в мае 2004 г. (Руководство по закупкам) - в случае закупки товаров;
</w:t>
      </w:r>
      <w:r>
        <w:br/>
      </w:r>
      <w:r>
        <w:rPr>
          <w:rFonts w:ascii="Times New Roman"/>
          <w:b w:val="false"/>
          <w:i w:val="false"/>
          <w:color w:val="000000"/>
          <w:sz w:val="28"/>
        </w:rPr>
        <w:t>
      (ii) Разделах I и IV "Руководства по отбору и найму консультантов заемщиками Всемирного Банка", опубликованного в мае 2004 г. (Руководство по отбору консультантов); и
</w:t>
      </w:r>
      <w:r>
        <w:br/>
      </w:r>
      <w:r>
        <w:rPr>
          <w:rFonts w:ascii="Times New Roman"/>
          <w:b w:val="false"/>
          <w:i w:val="false"/>
          <w:color w:val="000000"/>
          <w:sz w:val="28"/>
        </w:rPr>
        <w:t>
      (iii) Положениях настоящего Раздела, которые могут быть конкретизированы в плане закупок, составляемом и периодически обновляемом Получателем по данному Проекту в соответствии с пунктом 1.16 Руководства по закупкам и пунктом 1.24 Руководства по отбору консультантов (План закупок).
</w:t>
      </w:r>
      <w:r>
        <w:br/>
      </w:r>
      <w:r>
        <w:rPr>
          <w:rFonts w:ascii="Times New Roman"/>
          <w:b w:val="false"/>
          <w:i w:val="false"/>
          <w:color w:val="000000"/>
          <w:sz w:val="28"/>
        </w:rPr>
        <w:t>
      (b) 
</w:t>
      </w:r>
      <w:r>
        <w:rPr>
          <w:rFonts w:ascii="Times New Roman"/>
          <w:b w:val="false"/>
          <w:i w:val="false"/>
          <w:color w:val="000000"/>
          <w:sz w:val="28"/>
          <w:u w:val="single"/>
        </w:rPr>
        <w:t>
Определения
</w:t>
      </w:r>
      <w:r>
        <w:rPr>
          <w:rFonts w:ascii="Times New Roman"/>
          <w:b w:val="false"/>
          <w:i w:val="false"/>
          <w:color w:val="000000"/>
          <w:sz w:val="28"/>
        </w:rPr>
        <w:t>
. Термины, которые обозначены заглавными буквами и используются в следующих пунктах настоящего Раздела для описания частных методов закупок или методов рассмотрения Всемирным Банком отдельных контрактов, соответствуют определениям, предписываемым Руководством по закупкам или Руководством по отбору консультантов, в зависимости от каждого конкретного случая.
</w:t>
      </w:r>
      <w:r>
        <w:br/>
      </w:r>
      <w:r>
        <w:rPr>
          <w:rFonts w:ascii="Times New Roman"/>
          <w:b w:val="false"/>
          <w:i w:val="false"/>
          <w:color w:val="000000"/>
          <w:sz w:val="28"/>
        </w:rPr>
        <w:t>
      (c) 
</w:t>
      </w:r>
      <w:r>
        <w:rPr>
          <w:rFonts w:ascii="Times New Roman"/>
          <w:b w:val="false"/>
          <w:i w:val="false"/>
          <w:color w:val="000000"/>
          <w:sz w:val="28"/>
          <w:u w:val="single"/>
        </w:rPr>
        <w:t>
Частные методы закупки товаров
</w:t>
      </w:r>
      <w:r>
        <w:rPr>
          <w:rFonts w:ascii="Times New Roman"/>
          <w:b w:val="false"/>
          <w:i w:val="false"/>
          <w:color w:val="000000"/>
          <w:sz w:val="28"/>
        </w:rPr>
        <w:t>
.
</w:t>
      </w:r>
      <w:r>
        <w:br/>
      </w:r>
      <w:r>
        <w:rPr>
          <w:rFonts w:ascii="Times New Roman"/>
          <w:b w:val="false"/>
          <w:i w:val="false"/>
          <w:color w:val="000000"/>
          <w:sz w:val="28"/>
        </w:rPr>
        <w:t>
      (i) Если нижеследующим подпунктом (ii) не предусмотрено иное, закупка товаров производится на основании Международных конкурсных торгов.
</w:t>
      </w:r>
      <w:r>
        <w:br/>
      </w:r>
      <w:r>
        <w:rPr>
          <w:rFonts w:ascii="Times New Roman"/>
          <w:b w:val="false"/>
          <w:i w:val="false"/>
          <w:color w:val="000000"/>
          <w:sz w:val="28"/>
        </w:rPr>
        <w:t>
      (ii) Для закупки товаров по контрактам, указанным в Плане закупок, могут применяться следующие методы, отличные от Международных конкурсных торгов: (А) Закупки в свободной торговле; (Б) Прямое заключение контрактов.
</w:t>
      </w:r>
      <w:r>
        <w:br/>
      </w:r>
      <w:r>
        <w:rPr>
          <w:rFonts w:ascii="Times New Roman"/>
          <w:b w:val="false"/>
          <w:i w:val="false"/>
          <w:color w:val="000000"/>
          <w:sz w:val="28"/>
        </w:rPr>
        <w:t>
      (d) 
</w:t>
      </w:r>
      <w:r>
        <w:rPr>
          <w:rFonts w:ascii="Times New Roman"/>
          <w:b w:val="false"/>
          <w:i w:val="false"/>
          <w:color w:val="000000"/>
          <w:sz w:val="28"/>
          <w:u w:val="single"/>
        </w:rPr>
        <w:t>
Частные методы закупки услуг консультантов
</w:t>
      </w:r>
      <w:r>
        <w:rPr>
          <w:rFonts w:ascii="Times New Roman"/>
          <w:b w:val="false"/>
          <w:i w:val="false"/>
          <w:color w:val="000000"/>
          <w:sz w:val="28"/>
        </w:rPr>
        <w:t>
</w:t>
      </w:r>
      <w:r>
        <w:br/>
      </w:r>
      <w:r>
        <w:rPr>
          <w:rFonts w:ascii="Times New Roman"/>
          <w:b w:val="false"/>
          <w:i w:val="false"/>
          <w:color w:val="000000"/>
          <w:sz w:val="28"/>
        </w:rPr>
        <w:t>
      (i) Если нижеследующим подпунктом (ii) не предусмотрено иное, закупка услуг консультантов производится по контрактам, присуждаемым на основании Отбора по критериям цены и качества.
</w:t>
      </w:r>
      <w:r>
        <w:br/>
      </w:r>
      <w:r>
        <w:rPr>
          <w:rFonts w:ascii="Times New Roman"/>
          <w:b w:val="false"/>
          <w:i w:val="false"/>
          <w:color w:val="000000"/>
          <w:sz w:val="28"/>
        </w:rPr>
        <w:t>
      (ii) Для закупки услуг консультантов по указанным в Плане закупок контрактам, включая услуги по обучению, могут применяться следующие методы: (А) Отбор по критерию наименьшей стоимости; (Б) Отбор по квалификации консультантов; (В) Отбор индивидуальных консультантов; и (Г) Процедуры отбора индивидуальных консультантов из единого источника.
</w:t>
      </w:r>
      <w:r>
        <w:br/>
      </w:r>
      <w:r>
        <w:rPr>
          <w:rFonts w:ascii="Times New Roman"/>
          <w:b w:val="false"/>
          <w:i w:val="false"/>
          <w:color w:val="000000"/>
          <w:sz w:val="28"/>
        </w:rPr>
        <w:t>
      (e) 
</w:t>
      </w:r>
      <w:r>
        <w:rPr>
          <w:rFonts w:ascii="Times New Roman"/>
          <w:b w:val="false"/>
          <w:i w:val="false"/>
          <w:color w:val="000000"/>
          <w:sz w:val="28"/>
          <w:u w:val="single"/>
        </w:rPr>
        <w:t>
Рассмотрение Всемирным Банком решений по закупкам
</w:t>
      </w:r>
      <w:r>
        <w:rPr>
          <w:rFonts w:ascii="Times New Roman"/>
          <w:b w:val="false"/>
          <w:i w:val="false"/>
          <w:color w:val="000000"/>
          <w:sz w:val="28"/>
        </w:rPr>
        <w:t>
. В Плане закупок должны быть указаны те контракты, которые являются предметом Предварительного рассмотрения Всемирным Банком. Все остальные контракты являются предметом Последующего рассмотрения Всемирным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Снятие средств Гранта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w:t>
      </w:r>
      <w:r>
        <w:rPr>
          <w:rFonts w:ascii="Times New Roman"/>
          <w:b/>
          <w:i w:val="false"/>
          <w:color w:val="000000"/>
          <w:sz w:val="28"/>
        </w:rPr>
        <w:t>
</w:t>
      </w:r>
      <w:r>
        <w:rPr>
          <w:rFonts w:ascii="Times New Roman"/>
          <w:b/>
          <w:i/>
          <w:color w:val="000000"/>
          <w:sz w:val="28"/>
        </w:rPr>
        <w:t>
Удовлетворяющие критериям расходы
</w:t>
      </w:r>
      <w:r>
        <w:rPr>
          <w:rFonts w:ascii="Times New Roman"/>
          <w:b/>
          <w:i w:val="false"/>
          <w:color w:val="000000"/>
          <w:sz w:val="28"/>
        </w:rPr>
        <w:t>
</w:t>
      </w:r>
      <w:r>
        <w:rPr>
          <w:rFonts w:ascii="Times New Roman"/>
          <w:b w:val="false"/>
          <w:i w:val="false"/>
          <w:color w:val="000000"/>
          <w:sz w:val="28"/>
        </w:rPr>
        <w:t>
. Получатель может производить выборку средств Гранта в соответствии с (а) Общими условиями, (b) настоящим Разделом и (с) дополнительными инструкциями, которые Всемирный Банк может давать посредством уведомления Получателя (включая "Руководство Всемирного Банка по осуществлению выплат по проектам" в редакции, датированной маем 2006 года, периодически пересматриваемой Всемирным банком и применимой к настоящему Соглашению на основании таких инструкций) для финансирования Удовлетворяющих критериям расходов, изложенных в следующей таблице. В таблице представлены Категории расходов, которые могут финансироваться из средств Гранта (Категории), размеры выделяемых на каждую категорию ассигнований из средств Гранта, а также процентные доли расходов, подлежащих финансированию в качестве Удовлетворяющих критериям расходов по каждой Категории: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3634"/>
        <w:gridCol w:w="7338"/>
      </w:tblGrid>
      <w:tr>
        <w:trPr>
          <w:trHeight w:val="90" w:hRule="atLeast"/>
        </w:trPr>
        <w:tc>
          <w:tcPr>
            <w:tcW w:w="3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Категория
</w:t>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выделенного
</w:t>
            </w:r>
            <w:r>
              <w:br/>
            </w:r>
            <w:r>
              <w:rPr>
                <w:rFonts w:ascii="Times New Roman"/>
                <w:b w:val="false"/>
                <w:i w:val="false"/>
                <w:color w:val="000000"/>
                <w:sz w:val="20"/>
              </w:rPr>
              <w:t>
Гранта 
</w:t>
            </w:r>
            <w:r>
              <w:rPr>
                <w:rFonts w:ascii="Times New Roman"/>
                <w:b w:val="false"/>
                <w:i w:val="false"/>
                <w:color w:val="000000"/>
                <w:sz w:val="20"/>
                <w:u w:val="single"/>
              </w:rPr>
              <w:t>
(в евро)
</w:t>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подлежащих 
</w:t>
            </w:r>
            <w:r>
              <w:rPr>
                <w:rFonts w:ascii="Times New Roman"/>
                <w:b w:val="false"/>
                <w:i w:val="false"/>
                <w:color w:val="000000"/>
                <w:sz w:val="20"/>
                <w:u w:val="single"/>
              </w:rPr>
              <w:t>
финансированию Расходов
</w:t>
            </w:r>
            <w:r>
              <w:rPr>
                <w:rFonts w:ascii="Times New Roman"/>
                <w:b w:val="false"/>
                <w:i w:val="false"/>
                <w:color w:val="000000"/>
                <w:sz w:val="20"/>
              </w:rPr>
              <w:t>
</w:t>
            </w:r>
          </w:p>
        </w:tc>
      </w:tr>
      <w:tr>
        <w:trPr>
          <w:trHeight w:val="90" w:hRule="atLeast"/>
        </w:trPr>
        <w:tc>
          <w:tcPr>
            <w:tcW w:w="3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Товары
</w:t>
            </w:r>
          </w:p>
        </w:tc>
        <w:tc>
          <w:tcPr>
            <w:tcW w:w="3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1 912 643
</w:t>
            </w:r>
          </w:p>
        </w:tc>
        <w:tc>
          <w:tcPr>
            <w:tcW w:w="7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3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Услуги
</w:t>
            </w:r>
            <w:r>
              <w:br/>
            </w:r>
            <w:r>
              <w:rPr>
                <w:rFonts w:ascii="Times New Roman"/>
                <w:b w:val="false"/>
                <w:i w:val="false"/>
                <w:color w:val="000000"/>
                <w:sz w:val="20"/>
              </w:rPr>
              <w:t>
консультантов,
</w:t>
            </w:r>
            <w:r>
              <w:br/>
            </w:r>
            <w:r>
              <w:rPr>
                <w:rFonts w:ascii="Times New Roman"/>
                <w:b w:val="false"/>
                <w:i w:val="false"/>
                <w:color w:val="000000"/>
                <w:sz w:val="20"/>
              </w:rPr>
              <w:t>
включая аудит
</w:t>
            </w:r>
          </w:p>
        </w:tc>
        <w:tc>
          <w:tcPr>
            <w:tcW w:w="3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1 444 241
</w:t>
            </w:r>
          </w:p>
        </w:tc>
        <w:tc>
          <w:tcPr>
            <w:tcW w:w="7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3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Обучение
</w:t>
            </w:r>
          </w:p>
        </w:tc>
        <w:tc>
          <w:tcPr>
            <w:tcW w:w="3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73 116
</w:t>
            </w:r>
          </w:p>
        </w:tc>
        <w:tc>
          <w:tcPr>
            <w:tcW w:w="7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90" w:hRule="atLeast"/>
        </w:trPr>
        <w:tc>
          <w:tcPr>
            <w:tcW w:w="3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3 430 000
</w:t>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настоящего параграфа, термин "обучение" означает расходы, осуществляемые в счет связанных с Проектом стажировок, учебных курсов, семинаров, практических занятий и иных учебных мероприятий, включая стоимость учебных пособий, аренду помещений, дорожные и суточные расходы инструкторов и обучающихся.
</w:t>
      </w:r>
      <w:r>
        <w:br/>
      </w:r>
      <w:r>
        <w:rPr>
          <w:rFonts w:ascii="Times New Roman"/>
          <w:b w:val="false"/>
          <w:i w:val="false"/>
          <w:color w:val="000000"/>
          <w:sz w:val="28"/>
        </w:rPr>
        <w:t>
      3.02. 
</w:t>
      </w:r>
      <w:r>
        <w:rPr>
          <w:rFonts w:ascii="Times New Roman"/>
          <w:b/>
          <w:i w:val="false"/>
          <w:color w:val="000000"/>
          <w:sz w:val="28"/>
        </w:rPr>
        <w:t>
</w:t>
      </w:r>
      <w:r>
        <w:rPr>
          <w:rFonts w:ascii="Times New Roman"/>
          <w:b/>
          <w:i/>
          <w:color w:val="000000"/>
          <w:sz w:val="28"/>
        </w:rPr>
        <w:t>
Условия снятия средств
</w:t>
      </w:r>
      <w:r>
        <w:rPr>
          <w:rFonts w:ascii="Times New Roman"/>
          <w:b/>
          <w:i w:val="false"/>
          <w:color w:val="000000"/>
          <w:sz w:val="28"/>
        </w:rPr>
        <w:t>
</w:t>
      </w:r>
      <w:r>
        <w:rPr>
          <w:rFonts w:ascii="Times New Roman"/>
          <w:b w:val="false"/>
          <w:i w:val="false"/>
          <w:color w:val="000000"/>
          <w:sz w:val="28"/>
        </w:rPr>
        <w:t>
. Несмотря на положения Раздела 3.01 настоящего Соглашения, не допускается снятие средств со Счета Гранта:
</w:t>
      </w:r>
      <w:r>
        <w:br/>
      </w:r>
      <w:r>
        <w:rPr>
          <w:rFonts w:ascii="Times New Roman"/>
          <w:b w:val="false"/>
          <w:i w:val="false"/>
          <w:color w:val="000000"/>
          <w:sz w:val="28"/>
        </w:rPr>
        <w:t>
      (a) для финансирования платежей, произведенных до даты подписания Получателем настоящего Соглашения; и
</w:t>
      </w:r>
      <w:r>
        <w:br/>
      </w:r>
      <w:r>
        <w:rPr>
          <w:rFonts w:ascii="Times New Roman"/>
          <w:b w:val="false"/>
          <w:i w:val="false"/>
          <w:color w:val="000000"/>
          <w:sz w:val="28"/>
        </w:rPr>
        <w:t>
      (b) для оплаты каких-либо налогов, взимаемых Получателем или на территории Получателя, в отношении закупаемых товаров или услуг.
</w:t>
      </w:r>
      <w:r>
        <w:br/>
      </w:r>
      <w:r>
        <w:rPr>
          <w:rFonts w:ascii="Times New Roman"/>
          <w:b w:val="false"/>
          <w:i w:val="false"/>
          <w:color w:val="000000"/>
          <w:sz w:val="28"/>
        </w:rPr>
        <w:t>
      3.03. 
</w:t>
      </w:r>
      <w:r>
        <w:rPr>
          <w:rFonts w:ascii="Times New Roman"/>
          <w:b/>
          <w:i w:val="false"/>
          <w:color w:val="000000"/>
          <w:sz w:val="28"/>
        </w:rPr>
        <w:t>
</w:t>
      </w:r>
      <w:r>
        <w:rPr>
          <w:rFonts w:ascii="Times New Roman"/>
          <w:b/>
          <w:i/>
          <w:color w:val="000000"/>
          <w:sz w:val="28"/>
        </w:rPr>
        <w:t>
Период снятия средств со Счета Гранта
</w:t>
      </w:r>
      <w:r>
        <w:rPr>
          <w:rFonts w:ascii="Times New Roman"/>
          <w:b/>
          <w:i w:val="false"/>
          <w:color w:val="000000"/>
          <w:sz w:val="28"/>
        </w:rPr>
        <w:t>
</w:t>
      </w:r>
      <w:r>
        <w:rPr>
          <w:rFonts w:ascii="Times New Roman"/>
          <w:b w:val="false"/>
          <w:i w:val="false"/>
          <w:color w:val="000000"/>
          <w:sz w:val="28"/>
        </w:rPr>
        <w:t>
. Датой закрытия, на которую ссылается пункт (с) Раздела 3.06 Общих условий, является 28 февраля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Дополнительные средства защиты прав; Аннулирование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w:t>
      </w:r>
      <w:r>
        <w:rPr>
          <w:rFonts w:ascii="Times New Roman"/>
          <w:b/>
          <w:i w:val="false"/>
          <w:color w:val="000000"/>
          <w:sz w:val="28"/>
        </w:rPr>
        <w:t>
</w:t>
      </w:r>
      <w:r>
        <w:rPr>
          <w:rFonts w:ascii="Times New Roman"/>
          <w:b/>
          <w:i/>
          <w:color w:val="000000"/>
          <w:sz w:val="28"/>
        </w:rPr>
        <w:t>
Дополнительные события приостановки прав
</w:t>
      </w:r>
      <w:r>
        <w:rPr>
          <w:rFonts w:ascii="Times New Roman"/>
          <w:b/>
          <w:i w:val="false"/>
          <w:color w:val="000000"/>
          <w:sz w:val="28"/>
        </w:rPr>
        <w:t>
</w:t>
      </w:r>
      <w:r>
        <w:rPr>
          <w:rFonts w:ascii="Times New Roman"/>
          <w:b w:val="false"/>
          <w:i w:val="false"/>
          <w:color w:val="000000"/>
          <w:sz w:val="28"/>
        </w:rPr>
        <w:t>
. Дополнительные события приостановки прав, на которые ссылается пункт (i) Раздела 4.02 Общих условий, состоят в следующем:
</w:t>
      </w:r>
      <w:r>
        <w:br/>
      </w:r>
      <w:r>
        <w:rPr>
          <w:rFonts w:ascii="Times New Roman"/>
          <w:b w:val="false"/>
          <w:i w:val="false"/>
          <w:color w:val="000000"/>
          <w:sz w:val="28"/>
        </w:rPr>
        <w:t>
      (a) 
</w:t>
      </w:r>
      <w:r>
        <w:rPr>
          <w:rFonts w:ascii="Times New Roman"/>
          <w:b w:val="false"/>
          <w:i/>
          <w:color w:val="000000"/>
          <w:sz w:val="28"/>
        </w:rPr>
        <w:t>
Неправомочность
</w:t>
      </w:r>
      <w:r>
        <w:rPr>
          <w:rFonts w:ascii="Times New Roman"/>
          <w:b w:val="false"/>
          <w:i w:val="false"/>
          <w:color w:val="000000"/>
          <w:sz w:val="28"/>
        </w:rPr>
        <w:t>
. МБРР объявляет о неправомочности заключения с Получателем контракта, финансируемого МБРР.
</w:t>
      </w:r>
      <w:r>
        <w:br/>
      </w:r>
      <w:r>
        <w:rPr>
          <w:rFonts w:ascii="Times New Roman"/>
          <w:b w:val="false"/>
          <w:i w:val="false"/>
          <w:color w:val="000000"/>
          <w:sz w:val="28"/>
        </w:rPr>
        <w:t>
      (b) Внесение изменений, приостановка действия, объявление недействительным, аннулирование или откладывание на неопределенный срок действия закона, указа, устава или иных учредительных документов КВР, включая любые нормативные или правовые акты, на которых основываются перечисленные правовые инструменты, что существенно и отрицательно сказывается на возможности выполнения КВР каких-либо из своих обязательств, предусматриваемых настоящим Соглашением.
</w:t>
      </w:r>
      <w:r>
        <w:br/>
      </w:r>
      <w:r>
        <w:rPr>
          <w:rFonts w:ascii="Times New Roman"/>
          <w:b w:val="false"/>
          <w:i w:val="false"/>
          <w:color w:val="000000"/>
          <w:sz w:val="28"/>
        </w:rPr>
        <w:t>
      4.02. Крайним сроком вступления настоящего Соглашения в силу является 31 марта 2008 года, либо более поздняя дата, которая может быть установлена Всемирным Банком посредством уведомления 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Дополнительное условие вступления настоящего Соглашения в силу заключается в следующем: оформление и заключение Соглашения о займе (заем N№4848 KZ) между Получателем и Всемирным Банком по Проекту восстановления окружающей среды Усть-Каменогорска, утвержденному Всемирным Банком 1 февраля 2007 года, и выполнение всех предварительных условий вступления в силу такого Соглашения о займе или наделения Получателя правом осуществлять снятие средств на основании такого Соглашения о займе без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Получателя;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 
</w:t>
      </w:r>
      <w:r>
        <w:rPr>
          <w:rFonts w:ascii="Times New Roman"/>
          <w:b/>
          <w:i w:val="false"/>
          <w:color w:val="000000"/>
          <w:sz w:val="28"/>
        </w:rPr>
        <w:t>
</w:t>
      </w:r>
      <w:r>
        <w:rPr>
          <w:rFonts w:ascii="Times New Roman"/>
          <w:b/>
          <w:i/>
          <w:color w:val="000000"/>
          <w:sz w:val="28"/>
        </w:rPr>
        <w:t>
Представитель Получателя
</w:t>
      </w:r>
      <w:r>
        <w:rPr>
          <w:rFonts w:ascii="Times New Roman"/>
          <w:b/>
          <w:i w:val="false"/>
          <w:color w:val="000000"/>
          <w:sz w:val="28"/>
        </w:rPr>
        <w:t>
</w:t>
      </w:r>
      <w:r>
        <w:rPr>
          <w:rFonts w:ascii="Times New Roman"/>
          <w:b w:val="false"/>
          <w:i w:val="false"/>
          <w:color w:val="000000"/>
          <w:sz w:val="28"/>
        </w:rPr>
        <w:t>
. Представителем Получателя, на которого ссылается Раздел 7.02 Общих условий, является Председатель Комитета по водным ресурсам Министерства сельского хозяйства Республики Казахстан.
</w:t>
      </w:r>
      <w:r>
        <w:br/>
      </w:r>
      <w:r>
        <w:rPr>
          <w:rFonts w:ascii="Times New Roman"/>
          <w:b w:val="false"/>
          <w:i w:val="false"/>
          <w:color w:val="000000"/>
          <w:sz w:val="28"/>
        </w:rPr>
        <w:t>
      6.02. 
</w:t>
      </w:r>
      <w:r>
        <w:rPr>
          <w:rFonts w:ascii="Times New Roman"/>
          <w:b/>
          <w:i w:val="false"/>
          <w:color w:val="000000"/>
          <w:sz w:val="28"/>
        </w:rPr>
        <w:t>
</w:t>
      </w:r>
      <w:r>
        <w:rPr>
          <w:rFonts w:ascii="Times New Roman"/>
          <w:b/>
          <w:i/>
          <w:color w:val="000000"/>
          <w:sz w:val="28"/>
        </w:rPr>
        <w:t>
Адрес Получателя
</w:t>
      </w:r>
      <w:r>
        <w:rPr>
          <w:rFonts w:ascii="Times New Roman"/>
          <w:b/>
          <w:i w:val="false"/>
          <w:color w:val="000000"/>
          <w:sz w:val="28"/>
        </w:rPr>
        <w:t>
</w:t>
      </w:r>
      <w:r>
        <w:rPr>
          <w:rFonts w:ascii="Times New Roman"/>
          <w:b w:val="false"/>
          <w:i w:val="false"/>
          <w:color w:val="000000"/>
          <w:sz w:val="28"/>
        </w:rPr>
        <w:t>
. Адрес Получателя, на который ссылается Раздел 7.01 Общих условий:
</w:t>
      </w:r>
      <w:r>
        <w:br/>
      </w:r>
      <w:r>
        <w:rPr>
          <w:rFonts w:ascii="Times New Roman"/>
          <w:b w:val="false"/>
          <w:i w:val="false"/>
          <w:color w:val="000000"/>
          <w:sz w:val="28"/>
        </w:rPr>
        <w:t>
      Комитет по водным ресурсам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проспект Победы, 31
</w:t>
      </w:r>
      <w:r>
        <w:br/>
      </w:r>
      <w:r>
        <w:rPr>
          <w:rFonts w:ascii="Times New Roman"/>
          <w:b w:val="false"/>
          <w:i w:val="false"/>
          <w:color w:val="000000"/>
          <w:sz w:val="28"/>
        </w:rPr>
        <w:t>
      Астана, 010000 Республика Казахстан
</w:t>
      </w:r>
    </w:p>
    <w:p>
      <w:pPr>
        <w:spacing w:after="0"/>
        <w:ind w:left="0"/>
        <w:jc w:val="both"/>
      </w:pPr>
      <w:r>
        <w:rPr>
          <w:rFonts w:ascii="Times New Roman"/>
          <w:b w:val="false"/>
          <w:i w:val="false"/>
          <w:color w:val="000000"/>
          <w:sz w:val="28"/>
        </w:rPr>
        <w:t>
                                       Факс:
</w:t>
      </w:r>
      <w:r>
        <w:br/>
      </w:r>
      <w:r>
        <w:rPr>
          <w:rFonts w:ascii="Times New Roman"/>
          <w:b w:val="false"/>
          <w:i w:val="false"/>
          <w:color w:val="000000"/>
          <w:sz w:val="28"/>
        </w:rPr>
        <w:t>
                                                      (7) (3172) 32 19 04
</w:t>
      </w:r>
    </w:p>
    <w:p>
      <w:pPr>
        <w:spacing w:after="0"/>
        <w:ind w:left="0"/>
        <w:jc w:val="both"/>
      </w:pPr>
      <w:r>
        <w:rPr>
          <w:rFonts w:ascii="Times New Roman"/>
          <w:b w:val="false"/>
          <w:i w:val="false"/>
          <w:color w:val="000000"/>
          <w:sz w:val="28"/>
        </w:rPr>
        <w:t>
      6.03. 
</w:t>
      </w:r>
      <w:r>
        <w:rPr>
          <w:rFonts w:ascii="Times New Roman"/>
          <w:b/>
          <w:i w:val="false"/>
          <w:color w:val="000000"/>
          <w:sz w:val="28"/>
        </w:rPr>
        <w:t>
</w:t>
      </w:r>
      <w:r>
        <w:rPr>
          <w:rFonts w:ascii="Times New Roman"/>
          <w:b/>
          <w:i/>
          <w:color w:val="000000"/>
          <w:sz w:val="28"/>
        </w:rPr>
        <w:t>
Адрес Всемирного Банка
</w:t>
      </w:r>
      <w:r>
        <w:rPr>
          <w:rFonts w:ascii="Times New Roman"/>
          <w:b/>
          <w:i w:val="false"/>
          <w:color w:val="000000"/>
          <w:sz w:val="28"/>
        </w:rPr>
        <w:t>
</w:t>
      </w:r>
      <w:r>
        <w:rPr>
          <w:rFonts w:ascii="Times New Roman"/>
          <w:b w:val="false"/>
          <w:i w:val="false"/>
          <w:color w:val="000000"/>
          <w:sz w:val="28"/>
        </w:rPr>
        <w:t>
. Адрес Получателя, на который ссылается Раздел 7.01 Общих условий:
</w:t>
      </w:r>
      <w:r>
        <w:br/>
      </w:r>
      <w:r>
        <w:rPr>
          <w:rFonts w:ascii="Times New Roman"/>
          <w:b w:val="false"/>
          <w:i w:val="false"/>
          <w:color w:val="000000"/>
          <w:sz w:val="28"/>
        </w:rPr>
        <w:t>
      Международный Банк Реконструкции и Развития
</w:t>
      </w:r>
      <w:r>
        <w:br/>
      </w:r>
      <w:r>
        <w:rPr>
          <w:rFonts w:ascii="Times New Roman"/>
          <w:b w:val="false"/>
          <w:i w:val="false"/>
          <w:color w:val="000000"/>
          <w:sz w:val="28"/>
        </w:rPr>
        <w:t>
      ул. Н, 1818, N.W.
</w:t>
      </w:r>
      <w:r>
        <w:br/>
      </w:r>
      <w:r>
        <w:rPr>
          <w:rFonts w:ascii="Times New Roman"/>
          <w:b w:val="false"/>
          <w:i w:val="false"/>
          <w:color w:val="000000"/>
          <w:sz w:val="28"/>
        </w:rPr>
        <w:t>
      Вашингтон, округ Колумбия, 20433
</w:t>
      </w:r>
      <w:r>
        <w:br/>
      </w:r>
      <w:r>
        <w:rPr>
          <w:rFonts w:ascii="Times New Roman"/>
          <w:b w:val="false"/>
          <w:i w:val="false"/>
          <w:color w:val="000000"/>
          <w:sz w:val="28"/>
        </w:rPr>
        <w:t>
      Соединенные Штаты Америки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INDEVAS          248423 (MCI) или      1-202-477-6391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письма-соглашения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