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49eb" w14:textId="faa4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6 января 2000 года N 23</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2007 года N 1090</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создания благоприятных условий для развития рынка вторичной металлургии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января 2000 года N 23 "О мерах по усилению контроля за деятельностью хозяйствующих субъектов, занятых сбором (заготовкой), хранением, переработкой и реализацией лома и отходов цветных и черных металлов" (САПП Республики Казахстан, 2000 г., N 1, ст. 8) следующее изменение:
</w:t>
      </w:r>
      <w:r>
        <w:br/>
      </w:r>
      <w:r>
        <w:rPr>
          <w:rFonts w:ascii="Times New Roman"/>
          <w:b w:val="false"/>
          <w:i w:val="false"/>
          <w:color w:val="000000"/>
          <w:sz w:val="28"/>
        </w:rPr>
        <w:t>
      в абзаце первом пункта 3 слова ", 7404 00 и изделий из них по кодам ТН ВЭД ЕврАзЭС 7601 20 910 0, 7601 20 990 0, 7606 11 990 0, 7606 12 500 0, 7606 12 990 0, 7606 91 000 0, 7606 92 000 0, 7616 99 100 0,"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