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602d" w14:textId="8016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Факультативного протокола к Конвенции против пыток и других жестоких, бесчеловечных или унижающих достоинство видов обращения и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2007 года N 826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Президента Республики Казахстан предложение о подписании Факультативного протокола к Конвенции против пыток и других жестоких, бесчеловечных или унижающих достоинство видов обращения и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ФАКУЛЬТАТИВНЫЙ ПРОТОКОЛ К КОНВЕНЦИИ ПРОТИВ </w:t>
      </w:r>
      <w:r>
        <w:br/>
      </w:r>
      <w:r>
        <w:rPr>
          <w:rFonts w:ascii="Times New Roman"/>
          <w:b/>
          <w:i w:val="false"/>
          <w:color w:val="000000"/>
        </w:rPr>
        <w:t xml:space="preserve">
ПЫТОК И ДРУГИХ ЖЕСТОКИХ, БЕСЧЕЛОВЕЧНЫХ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УНИЖАЮЩИХ ДОСТОИНСТВО ВИДОВ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ОБРАЩЕНИЯ И НАКАЗАНИЯ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Объединенных Наций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ФАКУЛЬТАТИВНЫЙ ПРОТОКОЛ К КОНВЕНЦИИ ПРОТИВ ПЫТОК </w:t>
      </w:r>
      <w:r>
        <w:br/>
      </w:r>
      <w:r>
        <w:rPr>
          <w:rFonts w:ascii="Times New Roman"/>
          <w:b/>
          <w:i w:val="false"/>
          <w:color w:val="000000"/>
        </w:rPr>
        <w:t xml:space="preserve">
И ДРУГИХ ЖЕСТОКИХ, БЕСЧЕЛОВЕЧНЫХ ИЛИ УНИЖАЮЩИХ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ДОСТОИНСТВО ВИДОВ ОБРАЩЕНИЯ И НАКАЗАНИЯ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Преамбула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Государства-участники настоящего Протокола,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вновь подтверждая,  </w:t>
      </w:r>
      <w:r>
        <w:rPr>
          <w:rFonts w:ascii="Times New Roman"/>
          <w:b w:val="false"/>
          <w:i w:val="false"/>
          <w:color w:val="000000"/>
          <w:sz w:val="28"/>
        </w:rPr>
        <w:t xml:space="preserve">что пытки и другие жестокие, бесчеловечные или унижающие достоинство виды обращения и наказания запрещены и представляют собой серьезные нарушения прав человека,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будучи убеждены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необходимости дальнейших мер по достижению целей Конвенции против пыток и других жестоких, бесчеловечных или унижающих достоинство видов обращения и наказания (далее именуемой Конвенцией) и усилению защиты лишенных свободы лиц от пыток и других жестоких, бесчеловечных или унижающих достоинство видов обращения и наказания,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напоминая,  </w:t>
      </w:r>
      <w:r>
        <w:rPr>
          <w:rFonts w:ascii="Times New Roman"/>
          <w:b w:val="false"/>
          <w:i w:val="false"/>
          <w:color w:val="000000"/>
          <w:sz w:val="28"/>
        </w:rPr>
        <w:t xml:space="preserve">что статьи 2 и 16 Конвенции обязывают каждое государство-участник принимать эффективные меры для предупреждения актов пыток и других жестоких, бесчеловечных или унижающих достоинство видов обращения и наказания на любой территории под своей юрисдикцией,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признавая,  </w:t>
      </w:r>
      <w:r>
        <w:rPr>
          <w:rFonts w:ascii="Times New Roman"/>
          <w:b w:val="false"/>
          <w:i w:val="false"/>
          <w:color w:val="000000"/>
          <w:sz w:val="28"/>
        </w:rPr>
        <w:t xml:space="preserve">что на государствах лежит главная ответственность за выполнение этих статей, что усиление защиты лишенных свободы лиц и неукоснительное соблюдение их прав человека являются общей обязанностью всех и что международные органы по осуществлению дополняют и укрепляют национальные меры,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напоминая,  </w:t>
      </w:r>
      <w:r>
        <w:rPr>
          <w:rFonts w:ascii="Times New Roman"/>
          <w:b w:val="false"/>
          <w:i w:val="false"/>
          <w:color w:val="000000"/>
          <w:sz w:val="28"/>
        </w:rPr>
        <w:t xml:space="preserve">что действенное предупреждение пыток и других жестоких, бесчеловечных или унижающих достоинство видов обращения и наказания требует принятия мер в области просвещения и сочетания различных законодательных, административных, судебных и иных мер,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напоминая также  </w:t>
      </w:r>
      <w:r>
        <w:rPr>
          <w:rFonts w:ascii="Times New Roman"/>
          <w:b w:val="false"/>
          <w:i w:val="false"/>
          <w:color w:val="000000"/>
          <w:sz w:val="28"/>
        </w:rPr>
        <w:t xml:space="preserve">о том, что Всемирная конференция по правам человека, состоявшаяся в Вене в июне 1993 года, решительно заявила о том, что усилия по искоренению пыток должны быть прежде всего направлены на предупреждение, и призвала к принятию факультативного протокола к Конвенции, который имеет целью создание превентивной системы регулярного посещения мест содержания под стражей,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будучи убеждены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том, что защита лишенных свободы лиц от пыток и других жестоких, бесчеловечных или унижающих достоинство видов обращения и наказания может быть усилена на основе несудебных мер превентивного характера, основанных на регулярном посещении мест содержания под стражей,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договорились 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нижеследующем: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I </w:t>
      </w:r>
      <w:r>
        <w:br/>
      </w:r>
      <w:r>
        <w:rPr>
          <w:rFonts w:ascii="Times New Roman"/>
          <w:b/>
          <w:i w:val="false"/>
          <w:color w:val="000000"/>
        </w:rPr>
        <w:t xml:space="preserve">
Общие принципы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 настоящего Протокола заключается в создании системы регулярных посещений, осуществляемых независимыми международными и национальными органами, мест, где находятся лишенные свободы лица, с целью предупреждения пыток и других жестоких, бесчеловечных или унижающих достоинство видов обращения и наказания.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Создается Подкомитет по предупреждению пыток и других жестоких, бесчеловечных или унижающих достоинство видов обращения и наказания Комитета против пыток (далее именуемый Подкомитетом по предупреждению), который осуществляет функции, изложенные в настоящем Протоколе.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Подкомитет по предупреждению выполняет свою работу в рамках Устава Организации Объединенных Наций и руководствуется его целями и принципами, а также нормами Организации Объединенных Наций, касающимися обращения с лицами, лишенными свободы.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Подкомитет по предупреждению также руководствуется принципами конфиденциальности, беспристрастности, неизбирательности, универсальности и объективности.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Подкомитет по предупреждению и государства-участники сотрудничают в деле осуществления настоящего Протокола.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Каждое государство-участник создает, назначает или поддерживает на национальном уровне один или несколько органов для посещений в целях предупреждения пыток и других жестоких, бесчеловечных или унижающих достоинство видов обращения и наказания (далее именуемых национальными превентивными механизмами).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Каждое государство-участник разрешает посещения в соответствии с настоящим Протоколом, механизмами, о которых говорится в статьях 2 и 3, любого места, находящегося под его юрисдикцией и контролем, где содержатся или могут содержаться лица, лишенные свободы, по распоряжению государственного органа или по его указанию, либо с его ведома или молчаливого согласия (далее именуемые местами содержания под стражей). Эти посещения осуществляются с целью усиления, при необходимости, защиты таких лиц от пыток и других жестоких, бесчеловечных или унижающих достоинство видов обращения и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настоящего Протокола лишение свободы означает любую форму содержания под стражей или тюремного заключения или помещения лица в государственное или частное место содержания под стражей, которое это лицо не имеет права покинуть по собственной воле, по приказу любого судебного, административного или иного органа.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II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Подкомитет по предупреждению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Подкомитет по предупреждению состоит из десяти членов. После сдачи на хранение пятидесятой ратификационной грамоты или документа о присоединении к настоящему Протоколу число членов Подкомитета увеличивается до двадцати пяти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Члены Подкомитета по предупреждению выбираются из числа лиц, обладающих высокими моральными качествами и имеющих подтвержденный опыт работы в области отправления правосудия, в частности уголовного, в пенитенциарной системе или полиции, либо в различных областях, имеющих отношение к обращению с лишенными свободы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создании Подкомитета по предупреждению надлежащее внимание уделяется необходимости справедливого географического распределения и представленности различных форм культуры и правовых систем государств-участников.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создании Подкомитета по предупреждению внимание также уделяется сбалансированному гендерному представительству на основе принципов равенства и недискриминации.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Подкомитета по предупреждению может входить не более одного гражданина одного и того же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Члены Подкомитета по предупреждению выполняют свои функции в личном качестве, они должны быть независимыми и беспристрастными и иметь возможность эффективно работать в составе Подкомитета. 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Каждое государство-участник может, в соответствии с пунктом 2 настоящей статьи, выдвинуть двух кандидатов, обладающих квалификацией и отвечающих требованиям, изложенным в статье 5, и при этом оно представляет подробную информацию о квалификации кандидатов.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а) Кандидаты должны иметь гражданство государства-участника настоящего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по меньшей мере один из двух кандидатов, выдвинутых государством-участником, должен иметь гражданство этого государства-участника;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в состав Подкомитета по предупреждению может быть выдвинуто не более двух кандидатов, являющихся гражданами одного и того же государства-участника;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до того как какое-либо государство-участник выдвигает кандидатом гражданина другого государства-участника, оно запрашивает и получает на то согласие этого государства-участника.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 менее чем за пять месяцев до начала совещания государств-участников, на котором будут проводиться выборы, Генеральный секретарь Организации Объединенных Наций направляет государствам-участникам письмо с предложением представить своих кандидатов в трехмесячный срок. Генеральный секретарь представляет список всех выдвинутых таким образом кандидатов в алфавитном порядке с указанием государств-участников, которые их выдвинули. 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Члены Подкомитета по предупреждению избираются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главное внимание уделяется выполнению требований и критериев статьи 5 настоящего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первые выборы проводятся не позднее, чем через шесть месяцев после вступления в силу настоящего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государства-участники избирают членов Подкомитета по предупреждению тайным голосованием;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выборы члена Подкомитета по предупреждению проходят на совещаниях государств-участников, созываемых Генеральным секретарем Организации Объединенных Наций каждые два года. На этих совещаниях, на которых кворум составляют две трети числа государств-участников, избранными в Подкомитет членами считаются лица, набравшие наибольшее число голосов и абсолютное большинство голосов присутствующих и участвующих в голосовании представителей государств-участников.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в ходе выборов два гражданина какого-либо государства-участника получают право работать в составе Подкомитета по предупреждению, членом Подкомитета становится кандидат, набравший наибольшее число голосов. Если эти граждане получили одинаковое количество голосов, применяется следующая процедура: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если только один кандидат был выдвинут государством-участником, гражданином которого он является, этот гражданин становится членом Подкомитета по предупреждению;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если оба кандидата были выдвинуты государством-участником, гражданами которого они являются, то проводится раздельное тайное голосование для определения того, какой из этих граждан станет членом Подкомитета по предупреждению;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если ни один из кандидатов не был выдвинут государством-участником, гражданином которого он является, то проводится раздельное тайное голосование для определения того, какой из этих кандидатов станет членом Подкомитета по предупреждению. 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смерти или ухода в отставку одного из членов Подкомитета по предупреждению или в случае невозможности выполнения им по какой-либо иной причине функций члена Подкомитета, государство-участник, которое выдвинуло его кандидатуру, назначает другое имеющее право быть избранным лицо, обладающее квалификацией и удовлетворяющее требованиям, изложенным в статье 5, с учетом необходимости обеспечить надлежащую сбалансированность между различными областями компетенции, на срок полномочий до следующего совещания государств-участников при условии утверждения его большинством государств-участников. Утверждение считается состоявшимся, если только в течение шести недель после извещения Генеральным секретарем Организации Объединенных Наций о предполагаемом назначении половина или более половины государств-участников не выскажутся против такого назначения. 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Подкомитета по предупреждению избираются сроком на четыре года. Они могут быть переизбраны один раз в случае выдвижения их кандидатур. Срок полномочий половины числа членов, избранных на первых выборах, заканчивается по истечении двухлетнего периода; сразу же после первых выборов имена этих членов определяются жеребьевкой, которую проводит Председатель совещания, упомянутого в пункте 1 d статьи 7. 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Подкомитет по предупреждению избирает своих должностных лиц на двухгодичный срок. Они могут быть переизбраны.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Подкомитет по предупреждению устанавливает свои правила процедуры. Эти правила процедуры предусматривают, в частности,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кворум составляют половина числа членов плюс один;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решения Подкомитета по предупреждению принимаются большинством голосов присутствующих 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заседания Подкомитета по предупреждению являются закрытыми.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Генеральный секретарь Организации Объединенных Наций созывает первое совещание Подкомитета по предупреждению. После своего первого совещания Подкомитет проводит свои последующие совещания с интервалом, установленным в его правилах процедуры. Подкомитет и Комитет против пыток проводят свои сессии одновременно не реже одного раза в год. </w:t>
      </w:r>
    </w:p>
    <w:bookmarkEnd w:id="37"/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III </w:t>
      </w:r>
      <w:r>
        <w:br/>
      </w:r>
      <w:r>
        <w:rPr>
          <w:rFonts w:ascii="Times New Roman"/>
          <w:b/>
          <w:i w:val="false"/>
          <w:color w:val="000000"/>
        </w:rPr>
        <w:t xml:space="preserve">
Мандат Подкомитета по предупреждению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Подкомитет по предупреждению: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посещает места, упомянутые в статье 4, и представляет рекомендации государствам-участникам относительно защиты лишенных свободы лиц от пыток и других жестоких, бесчеловечных или унижающих достоинство видов обращения и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в отношении национальных превентивных механизмов: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при необходимости, консультирует государства-участники и оказывает им содействие в созданий таких механизмов;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ii) поддерживает прямые, при необходимости конфиденциальные, контакты с национальными превентивными механизмами и предлагает им услуги в области профессиональной подготовки и технической помощи в целях укрепления их потенциала;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iii) консультирует их и оказывает им помощь в деле оценки потребностей и мер, необходимых для усиления защиты лишенных свободы лиц от пыток и других жестоких, бесчеловечных или унижающих достоинство видов обращения и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iv) представляет рекомендации и замечания государствам-участникам в целях укрепления возможностей и мандата национальных превентивных механизмов для предупреждения пыток и других жестоких, бесчеловечных или унижающих достоинство видов обращения и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Сотрудничает в целях предупреждения пыток в целом с соответствующими органами и механизмами Организации Объединенных Наций, а также с международными, региональными и национальными учреждениями или организациями, действующими в интересах усиления защиты всех лиц от пыток и других жестоких, бесчеловечных или унижающих достоинство видов обращения и наказания. </w:t>
      </w:r>
    </w:p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того чтобы Подкомитет по предупреждению мог выполнять свой мандат, изложенный в статье 11, государства-участники обязуются: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принимать Подкомитет по предупреждению на своей территории и предоставлять ему доступ к местам содержания под стражей, определенным в статье 4 настоящего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предоставлять всю соответствующую информацию, которую Подкомитет по предупреждению может запросить в целях оценки потребностей и мер, которые должны быть приняты для усиления защиты лишенных свободы лиц от пыток и других жестоких, бесчеловечных или унижающих достоинство видов обращения и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поощрять и облегчать контакты между Подкомитетом по предупреждению и национальными превентивными механизмами;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изучать рекомендации Подкомитета по предупреждению и вступать в диалог с ним относительно возможных мер по осуществлению. 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Подкомитет по предупреждению, в начале с помощью жеребьевки, устанавливает программу регулярных посещений государств-участников в целях выполнения своего мандата, установленного в статье 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После проведения консультаций Подкомитет по предупреждению уведомляет государства-участники о своей программе, с тем чтобы они без промедления могли бы принять необходимые практические меры для осуществления посещений.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Посещения проводятся по крайней мере двумя членами Подкомитета по предупреждению. При необходимости, эти члены могут сопровождаться экспертами, имеющими подтвержденный опыт работы и знания в областях, охватываемых настоящим Протоколом, которые избираются из списка экспертов, подготовленного на основе предложений, высказанных государствами-участниками, Управлением Верховного комиссара по правам человека Организации Объединенных Наций и Центром Организации Объединенных Наций по предупреждению международной преступности. При подготовке этого списка соответствующие государства-участники предлагают не более пяти национальных экспертов. Соответствующее государство-участник может отклонить кандидатуру предложенного для посещения эксперта, после чего Подкомитет предлагает другого эксперта.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Подкомитет по предупреждению сочтет это необходимым, он может предложить организовать краткое последующее посещение после проведения регулярного посещения. 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 тем чтобы Подкомитет по предупреждению мог выполнять свой мандат, государства-участники настоящего Протокола обязуются предоставлять 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неограниченный доступ к любой информации о числе лишенных свободы лиц в местах содержания под стражей, определенных в статье 4, а также о количестве таких мест и их местонахождении;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неограниченный доступ к любой информации, касающейся обращения с этими лицами, а также условий их содержания под стражей;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в соответствии с пунктом 2 ниже - неограниченный доступ ко всем местам содержания под стражей, их сооружениям и объектам;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возможность проводить частные беседы с лишенными свободы лицами без свидетелей, лично или при необходимости, через переводчика, а также с любым другим лицом, которое, по мнению Подкомитета по предупреждению, может представить соответствующую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право беспрепятственно выбирать места, которые он желает посетить, и лиц, с которыми он желает побеседовать.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Возражения в отношении посещения конкретного места содержания под стражей могут основываться лишь на возникших в срочном порядке и убедительных соображениях, касающихся национальной обороны, государственной безопасности, стихийных бедствий или серьезных беспорядков в месте предполагаемого посещения, которые временно, препятствуют проведению такого посещения. Наличие объявленного чрезвычайного положения как такового не может приводиться государством-участником в качестве причины для возражения против проведения посещения. </w:t>
      </w:r>
    </w:p>
    <w:bookmarkEnd w:id="48"/>
    <w:bookmarkStart w:name="z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 один орган или должное лицо не может назначать, применять, разрешать или допускать любую санкцию в отношении любого лица или организации за сообщение Подкомитету по предупреждению или его членам любой информации, будь-то правдивой или ложной, и ни одно такое лицо или организация не могут быть каким-либо иным образом ущемлены. </w:t>
      </w:r>
    </w:p>
    <w:bookmarkStart w:name="z5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Подкомитет по предупреждению направляет свои рекомендации и замечания в конфиденциальном порядке государству-участнику и, при необходимости, национальному превентивному механизму.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Подкомитет по предупреждению публикует свой доклад вместе с любыми замечаниями соответствующего государства-участника в случае поступления соответствующей просьбы от государства-участника. Если государство-участник предает гласности часть доклада, Подкомитет может опубликовать доклад полностью или частично. Вместе с тем данные личного характера не могут публиковаться без прямо выраженного согласия соответствующего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Подкомитет по предупреждению представляет открытый ежегодный доклад о своей деятельности Комитету против пыток.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государство-участник отказывается сотрудничать с Подкомитетом по предупреждению в соответствии со статьями 12 и 14 или отказывается принимать меры для улучшения положения в свете рекомендаций Подкомитета по предупреждению, Комитет против пыток может по просьбе Подкомитета, после того, как государство-участник получит возможность изложить свои соображения, принять большинством голосов своих членов решение выступить с публичным заявлением по данному вопросу или опубликовать доклад Подкомитета. </w:t>
      </w:r>
    </w:p>
    <w:bookmarkEnd w:id="54"/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IV </w:t>
      </w:r>
      <w:r>
        <w:br/>
      </w:r>
      <w:r>
        <w:rPr>
          <w:rFonts w:ascii="Times New Roman"/>
          <w:b/>
          <w:i w:val="false"/>
          <w:color w:val="000000"/>
        </w:rPr>
        <w:t xml:space="preserve">
Национальные превентивные механизмы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5"/>
    <w:bookmarkStart w:name="z5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 позднее чем через один год после вступления в силу настоящего Протокола или его ратификации или присоединения к нему каждое государство-участник поддерживает, назначает или создает один или несколько независимых национальных превентивных механизмов для предупреждения пыток на национальном уровне. Механизмы, учрежденные децентрализованными органами, могут, для целей настоящего Протокола, назначаться в качестве национальных превентивных механизмов, если они отвечают требованиям его положений. </w:t>
      </w:r>
    </w:p>
    <w:bookmarkStart w:name="z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Государства-участники гарантируют функциональную независимость национальных превентивных механизмов, а также независимость их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Государства-участники принимают необходимые меры по обеспечению того, чтобы эксперты национального превентивного механизма обладали необходимым потенциалом и профессиональными знаниями. Они обеспечивают гендерный баланс и адекватную представленность существующих в стране этнических групп и групп меньшинств.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Государства-участники обязуются предоставлять необходимые ресурсы для функционирования национальных превентивных механизмов.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создании национальных превентивных механизмов государства-участники учитывают Принципы, касающиеся статуса национальных учреждений по защите и поощрению прав человека. </w:t>
      </w:r>
    </w:p>
    <w:bookmarkEnd w:id="61"/>
    <w:bookmarkStart w:name="z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Национальным превентивным механизмам предоставляются, как минимум, следующие полномочия: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регулярно рассматривать вопрос об обращении с лишенными свободы лицами в местах содержания под стражей, определенных в статье 4, с целью усиления, при необходимости, их защиты от пыток и других жестоких, бесчеловечных или унижающих достоинство видов обращения и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представлять рекомендации соответствующим органам в целях улучшения обращения с лишенными свободы лицами и условий их содержания и предупреждать пытки и другие жестокие, бесчеловечные или унижающие достоинство виды обращения и наказания с учетом соответствующих норм Организации Объединенных Наций;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представлять предложения и замечания, касающиеся действующего законодательства или законопроектов. </w:t>
      </w:r>
    </w:p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тем чтобы национальные превентивные механизмы могли выполнять свой мандат, государства-участники настоящего Протокола обязуются предоставлять 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доступ к любой информации о числе лишенных свободы лиц в местах содержания под стражей, определенных в статье 4, а также о количестве таких мест и их местонахождении;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доступ к любой информации, касающейся обращения с этими лицами, а также условий их содержания под стражей;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доступ к любым местам содержания под стражей, их сооружениям и объектам;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возможность проводить частные беседы с лишенными свободы лицами без свидетелей, лично, или, при необходимости, через переводчика, а также с любым другим лицом, которое, по мнению национального превентивного механизма, может представить соответствующую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право беспрепятственно выбирать места, которые они желают посетить, и лиц, с которыми они желают побеседовать;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право устанавливать контакты с Подкомитетом по предупреждению, направлять ему информацию и встречаться с ним. </w:t>
      </w:r>
    </w:p>
    <w:bookmarkStart w:name="z6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Ни один орган или должностное лицо не может назначать, применять, разрешать или допускать любую санкцию в отношении любого лица или организации зa сообщение национальному превентивному механизму любой информации, будь то правдивой или ложной, и ни одно такое лицо или организация не могут быть каким-либо иным образом ущемлены.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Конфиденциальная информация, собранная национальным превентивным механизмом, не подлежит разглашению. Данные личного характера публикуются только с прямо выраженного согласия соответствующего лица. </w:t>
      </w:r>
    </w:p>
    <w:bookmarkEnd w:id="66"/>
    <w:bookmarkStart w:name="z6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соответствующего государства-участника изучают рекомендации национального превентивного механизма и вступают с ним в диалог в отношении возможных мер по осуществлению. </w:t>
      </w:r>
    </w:p>
    <w:bookmarkStart w:name="z6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Государства-участники настоящего Протокола обязуются публиковать и распространять ежегодные доклады национальных превентивных механизмов. </w:t>
      </w:r>
    </w:p>
    <w:bookmarkStart w:name="z7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V </w:t>
      </w:r>
      <w:r>
        <w:br/>
      </w:r>
      <w:r>
        <w:rPr>
          <w:rFonts w:ascii="Times New Roman"/>
          <w:b/>
          <w:i w:val="false"/>
          <w:color w:val="000000"/>
        </w:rPr>
        <w:t xml:space="preserve">
Заявление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9"/>
    <w:bookmarkStart w:name="z7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После ратификации государства-участники могут сделать заявление относительно отсрочки осуществления своих обязательств либо согласно части III, либо согласно части IV настоящего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Такая отсрочка действует максимум три года. После представления соответствующих материалов государством-участником и после консультаций с Подкомитетом по предупреждению Комитет против пыток может продлить этот период еще на два года. </w:t>
      </w:r>
    </w:p>
    <w:bookmarkEnd w:id="72"/>
    <w:bookmarkStart w:name="z7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VI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Финансовые положения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3"/>
    <w:bookmarkStart w:name="z7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25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Расходы, понесенные Подкомитетом по предупреждению в ходе осуществления настоящего Протокола, покрываются Организацией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Генеральный секретарь Организации Объединенных Наций обеспечивает необходимый персонал и условия для эффективного осуществления функций Подкомитета по предупреждению в соответствии с настоящим Протоколом. </w:t>
      </w:r>
    </w:p>
    <w:bookmarkEnd w:id="76"/>
    <w:bookmarkStart w:name="z7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26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надлежащей процедурой Генеральной Ассамблеи создается Специальный фонд, управляемый в соответствии с финансовыми положениями и правилами Организации Объединенных Наций, для оказания помощи в финансировании осуществления рекомендаций, вынесенных Подкомитетом по предупреждению государству-участнику после посещения, а также образовательных программ национальных превентивных механизмов.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Этот Специальный фонд может финансироваться за счет добровольных взносов, выплачиваемых правительствами, межправительственными и неправительственными организациями и другими частными или государственными образованиями. </w:t>
      </w:r>
    </w:p>
    <w:bookmarkEnd w:id="79"/>
    <w:bookmarkStart w:name="z8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VII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Заключительные положения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0"/>
    <w:bookmarkStart w:name="z8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27 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 открыт для подписания любым государством, подписавшим Конвенцию.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подлежит ратификации любым государством, ратифицировавшим Конвенцию или присоединившимся в ней. Ратификационные грамоты сдаются на хранение Генеральному секретарю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Протокол открыт для присоединения любого государства, которое ратифицировало Конвенцию или присоединилось к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Присоединение осуществляется путем сдачи на хранение Генеральному секретарю Организации Объединенных Наций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Генеральный секретарь Организации Объединенных Наций информирует все государства, которые подписали настоящий Протокол или присоединились к нему, о сдаче на хранение каждой ратификационной грамоты или документа о присоединении. </w:t>
      </w:r>
    </w:p>
    <w:bookmarkEnd w:id="86"/>
    <w:bookmarkStart w:name="z8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28 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 вступает в силу на 30-й день после сдачи на хранение Генеральному секретарю Организации Объединенных Наций 20-й ратификационной грамоты или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каждого государства, которое ратифицирует настоящий Протокол или присоединяется к нему после сдачи на хранение Генеральному секретарю Организации Объединенных Наций двадцатой ратификационной грамоты или документа о присоединении, настоящий Протокол вступает в силу на 30-й день после сдачи на хранение его собственной ратификационной грамоты или документа о присоединении. </w:t>
      </w:r>
    </w:p>
    <w:bookmarkEnd w:id="89"/>
    <w:bookmarkStart w:name="z9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29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Протокола распространяются на все части федеративных государств без каких-либо ограничений или исключений. </w:t>
      </w:r>
    </w:p>
    <w:bookmarkStart w:name="z9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30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Какие-либо оговорки к настоящему Протоколу не допускаются. </w:t>
      </w:r>
    </w:p>
    <w:bookmarkStart w:name="z9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31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Протокола не затрагивают обязательств государств-участников по любым региональным конвенциям, основанным на системе посещений мест содержания под стражей. Подкомитету по предупреждению и органам, учрежденным в соответствии с такими региональными конвенциями, предлагается консультироваться и сотрудничать друг с другом, с тем чтобы избегать дублирования и обеспечивать эффективное достижение целей настоящего Протокола. </w:t>
      </w:r>
    </w:p>
    <w:bookmarkStart w:name="z9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32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Положения настоящего Протокола не затрагивают обязательств государств-участников по четырем Женевским конвенциям от 12 августа 1949 года и Дополнительным протоколам к ним от 8 июня 1977 года, а также прав любого государства разрешать Международному комитету Красного Креста посещать места содержания под стражей в ситуациях, не охватываемых международным гуманитарным правом. </w:t>
      </w:r>
    </w:p>
    <w:bookmarkStart w:name="z9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33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Любое государство-участник может в любое время денонсировать настоящий Протокол путем направления письменного уведомления Генеральному секретарю Организации Объединенных Наций, который затем информирует об этом другие государства-участники настоящего Протокола и Конвенции. Денонсация вступает в силу пo истечении одного года после получения Генеральным секретарем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Такая денонсация не освобождает государство-участника от его обязательств по настоящему Протоколу в связи с любым действием или ситуацией, которые могли иметь место до даты вступления денонсации в силу, или мерами, которые Подкомитет по предупреждению решил или может решить принять в отношении соответствующего государства-участника, и денонсация никоим образом не наносит ущерба продолжающемуся рассмотрению любого вопроса, который уже рассматривался Подкомитетом до даты вступления денонсации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даты вступления в силу объявленной государством-участником денонсации Подкомитет по предупреждению не может начинать рассмотрение любого нового вопроса, касающегося этого государства. </w:t>
      </w:r>
    </w:p>
    <w:bookmarkEnd w:id="97"/>
    <w:bookmarkStart w:name="z9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34 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Любое государство-участник настоящего Протокола может предложить поправку и направить ее Генеральному секретарю Организации Объединенных Наций. Генеральный секретарь затем препровождает предложенную поправку государствам-участникам настоящего Протокола с просьбой сообщить ему, согласны ли они с созывом конференции государств-участников с целью рассмотрения этого предложения и проведения по нему голосования. Если в течение четырех месяцев с даты направления такого письма по меньшей мере одна треть государств-участников выскажется за такую конференцию, Генеральный секретарь созывает конференцию под эгидой Организации Объединенных Наций. Любая поправка, принятая большинством в две трети присутствующих и участвующих в голосовании на этой конференции государств-участников, направляется Генеральным секретарем всем государствам-участникам для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Поправка, утвержденная в соответствии с пунктом 1 настоящей статьи, вступает в силу после ее принятия большинством в две трети государств-участников настоящего Протокола в соответствии с их конституционными процедурами.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вступления поправок в силу они становятся обязательными для тех государств-участников, которые их приняли, а для других государств-участников остаются обязательными положения настоящего Протокола и любые предшествующие поправки, которые были ими приняты. </w:t>
      </w:r>
    </w:p>
    <w:bookmarkEnd w:id="101"/>
    <w:bookmarkStart w:name="z10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35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Членам Подкомитета по предупреждению и членам национальных превентивных механизмом предоставляются привилегии и иммунитеты, которые необходимы для независимого осуществления ими своих функций. Членам Подкомитета предоставляются привилегии и иммунитеты, перечисленные в разделе 22 Конвенции о привилегиях и иммунитетах Организации Объединенных Наций от 13 февраля 1946 года, с соблюдением положений раздела 23 той же Конвенции. </w:t>
      </w:r>
    </w:p>
    <w:bookmarkStart w:name="z10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36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посещении государства-участника члены Подкомитета по предупреждению без ущерба для положений и целей настоящего Протокола и тех привилегий и иммунитетов, которыми они могут пользоваться: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соблюдают законы и нормы государства посещения;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воздерживаются от любых действий или деятельности, не совместимых с беспристрастным и международным характером их обязанностей. </w:t>
      </w:r>
    </w:p>
    <w:bookmarkStart w:name="z10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37 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Протокол, английский, арабский, испанский, китайский, русский и французский тексты которого являются равно аутентичными, сдается на хранение Генеральному секретарю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Генеральный секретарь Организации Объединенных Наций направляет заверенные экземпляры настоящего Протокола всем государствам. 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