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ec11" w14:textId="f52e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"Акмолинский финансово-экономический колледж"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2007 года N 624.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подготовки, переподготовки и повышения квалификации специалистов органов финансовой системы в сфере профессиональной деятельности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"Акмолинский финансово-экономический колледж" Министерства образования и науки Республики Казахстан путем преобразования в акционерное общество "Центр подготовки, переподготовки и повышения квалификации специалистов органов финансовой системы"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переподготовку и повышение квалификации специалистов органов финансовой системы.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opганах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Министерству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мep пo реализации настоящего постановления.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2007 года N 624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вносится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21-94,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"21-94. АО "Центр подготовки, переподготовки и повышения квалификации специалистов органов финансовой системы".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финансов Республики Казахстан" дополнить строкой, порядковый номер 217-10,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"217-10 АО "Центр подготовки, переподготовки и повышения квалификации специалистов органов финансовой системы".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 (Исключен -   постановлением Правительства РК от 24.04.2008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