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253" w14:textId="09e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заготовке древесины на участках государственного лесного фонда, осуществляемой лесопользователями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2007 года № 580.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деятельности по заготовке древесины на участках государственного лесного фонда, осуществляемой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2003 года N 1018 "О некоторых вопросах лицензирования деятельности по заготовке древесины на участках государственного лесного фонда, осуществляемой лесопользователями, и внесении дополнений в некоторые решения Правительства Республики Казахстан" (САПП Республики Казахстан, 2003 г., N 40, ст. 421).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2007 года N 580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заготовке древесины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осуществляемой лесопользователями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исключены постановлением Правительста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2007 года N 580 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заготовке древесины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лесопользователями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30.01.2012); с изменением, внесенным постановлением Правительства РК от 07.03.2012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Квалификационные требования физическим и юридическим лицам для осуществления деятельности по заготовке древесины на участках государственного лесного фонда,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инженерно-технического работника, имеющего высшее профессиональное образование по специальности (лесное хозяйство), или соответствующее среднее профессиональное образование и стаж работы по специальности не менее трех лет (нотариально засвидетельствованная в случае непредставления оригинала для сверки копии диплома и документов о прохождении соответствующего обучения, подтверждающих наличие инженерно-технического работника и трудовой книжки, подтверждающей стаж работы инженерно-технического работника, копии приказов или трудовых контрактов, подтверждающих трудовое соглашение между заявителем и инженерно-техническим работником);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персонала, обученного для производства работ по валке деревьев, обрубке сучьев, трелевке, погрузке и вывозке древесины (нотариально засвидетельствованная в случае непредставления оригинала для сверки копии документов о прохождении соответствующего обучения, копии приказов или трудовых контрактов, подтверждающих трудовое соглашение между заявителем и персоналом);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материально-технической базы на праве собственности техники и машины для валки, трелевки, погрузки и вывозки древесины, обеспечивающих выполнение установленного ежегодного объема рубок и лесоводственно-экологических требований при проведении лесосечных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"Об утверждении Правил рубок леса на участках государственного лесного фонда" (нотариально засвидетельствованная в случае непредставления оригинала для сверки копии технических паспортов на технику и документов о прохождении ежегодного технического 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пожарного оборудования и средств тушения,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специалиста, ответственного за охрану труда и технику безопасности (приказ, подписанный первым руководителем и скрепленный печатью).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