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a5bb" w14:textId="052a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26 февраля 2007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февраля 2007 года N 142 "Об утверждении лимитов вылова рыбы и других водных животных в рыбохозяйственных водоемах на 2007 год"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лимиты вылова рыбы </w:t>
      </w:r>
      <w:r>
        <w:rPr>
          <w:rFonts w:ascii="Times New Roman"/>
          <w:b w:val="false"/>
          <w:i w:val="false"/>
          <w:color w:val="000000"/>
          <w:sz w:val="28"/>
        </w:rPr>
        <w:t>
 и других водных животных в рыбохозяйственных водоемах на 2007 год,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Урало-Каспийский бассейн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453"/>
        <w:gridCol w:w="2033"/>
        <w:gridCol w:w="1433"/>
        <w:gridCol w:w="2233"/>
        <w:gridCol w:w="1773"/>
        <w:gridCol w:w="1673"/>
      </w:tblGrid>
      <w:tr>
        <w:trPr>
          <w:trHeight w:val="9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вылова рыбы и других водных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рыбохозяйственных водоемах (в тоннах)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Урал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 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16,0***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"Кызылординская область"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73"/>
        <w:gridCol w:w="1353"/>
        <w:gridCol w:w="1033"/>
        <w:gridCol w:w="1293"/>
        <w:gridCol w:w="1113"/>
        <w:gridCol w:w="1273"/>
        <w:gridCol w:w="1833"/>
        <w:gridCol w:w="1373"/>
      </w:tblGrid>
      <w:tr>
        <w:trPr>
          <w:trHeight w:val="9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Тущи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233"/>
        <w:gridCol w:w="1133"/>
        <w:gridCol w:w="1133"/>
        <w:gridCol w:w="1593"/>
        <w:gridCol w:w="1073"/>
        <w:gridCol w:w="1253"/>
      </w:tblGrid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 распределение квот вылова осетровых в море и шип в реке Урал для проведения научных исследований производится уполномоченным органом в разрезе каждой научной темы.".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