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360e" w14:textId="fb43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29 декабря 1995 года N 1894 и от 28 июля 2005 года N 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№ 1258.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от 2 декабря 1999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27-1, дополнить новыми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физкультурно-оздоровительных, спортивных клубов, центров, секций и других организаций, осуществляющих физкультурно-оздоровительную и спортивную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юридических и физических лиц по оказанию физкультурно-оздоровительных, спортивных услуг на спортивных сооружениях первой, второй и третьей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местных общественных объединений, союзов, ассоциаций (областных федераций), связанная с оказанием услуг в сфере физической культуры и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36, слова "по физической культуре и спорту" заменить словами ", связанная с оказанием услуг в сфере физической культуры и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(утратили силу постановлением Правительства РК от 9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1063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21-го срока после официального опубликования).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