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4dc2" w14:textId="ae44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дополнительной норме потребности Республики Казахстан в наркотическом средстве на 2006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2006 года N 966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реализации Программного соглашения по реализации гранта между Глобальным фондом по борьбе со СПИДом, туберкулезом и малярией и Республиканским центром по профилактике и борьбе со СПИД от 4 августа 2003 года и дополнений и возобновлений к Программному соглашению от 24 ноября 2005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направить в штаб-квартиру Международного комитета по контролю над наркотиками Организации Объединенных Наций (Вена, Австрийская Республика) для утверждения дополнительной международной квоты прилагаемую дополнительную норму потребности Республики Казахстан в наркотическом средстве на 2006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после утверждения дополнительной международной квоты в установленном порядке внести в Правительство Республики Казахстан расчеты потребности для утверждения дополнительной государственной квоты на наркотическое средство на 2006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октября 2006 года N 966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Дополнительная норма потребности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 наркотическом средстве на 2006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Дополнительное исчисление потребности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 наркотическим средстве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Единая конвенция о наркотических средствах 1961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статьи 1, 12 и 19.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Протокол от 25 марта 1972 года о поправках к Единой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конвенции о наркотических средствах 1961 года: статьи 5 и 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СТРАНА/ТЕРРИТОРИЯ:  </w:t>
      </w:r>
      <w:r>
        <w:rPr>
          <w:rFonts w:ascii="Times New Roman"/>
          <w:b/>
          <w:i w:val="false"/>
          <w:color w:val="000000"/>
          <w:sz w:val="28"/>
          <w:u w:val="single"/>
        </w:rPr>
        <w:t xml:space="preserve">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ДАТА:  </w:t>
      </w:r>
      <w:r>
        <w:rPr>
          <w:rFonts w:ascii="Times New Roman"/>
          <w:b/>
          <w:i w:val="false"/>
          <w:color w:val="000000"/>
          <w:sz w:val="28"/>
          <w:u w:val="single"/>
        </w:rPr>
        <w:t xml:space="preserve">1 сентября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ВЕДОМСТВО:  </w:t>
      </w:r>
      <w:r>
        <w:rPr>
          <w:rFonts w:ascii="Times New Roman"/>
          <w:b/>
          <w:i w:val="false"/>
          <w:color w:val="000000"/>
          <w:sz w:val="28"/>
          <w:u w:val="single"/>
        </w:rPr>
        <w:t xml:space="preserve">Комитет по борьбе с наркобизнесом и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 xml:space="preserve">оборотом наркотиков Министерства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 xml:space="preserve">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ОТВЕТСТВЕННОГО ДОЛЖНОСТНОГО ЛИЦА:  </w:t>
      </w:r>
      <w:r>
        <w:rPr>
          <w:rFonts w:ascii="Times New Roman"/>
          <w:b/>
          <w:i w:val="false"/>
          <w:color w:val="000000"/>
          <w:sz w:val="28"/>
          <w:u w:val="single"/>
        </w:rPr>
        <w:t xml:space="preserve">Выборов Анатолий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 xml:space="preserve">Николаевич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ЗВАНИЕ/ДОЛЖНОСТЬ:  </w:t>
      </w:r>
      <w:r>
        <w:rPr>
          <w:rFonts w:ascii="Times New Roman"/>
          <w:b/>
          <w:i w:val="false"/>
          <w:color w:val="000000"/>
          <w:sz w:val="28"/>
          <w:u w:val="single"/>
        </w:rPr>
        <w:t xml:space="preserve">председатель Комитета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 xml:space="preserve">наркобизнесом и контролю за оборотом наркотиков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 xml:space="preserve">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ПОДПИСЬ: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Дополнительное исчисление относится к 2006 календарному году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  <w:u w:val="single"/>
        </w:rPr>
        <w:t xml:space="preserve">                             ПРИМЕЧАНИЕ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Настоящее дополнительное исчисление в одном экземпляре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МЕЖДУНАРОДНОМУ КОМИТЕТУ ПО КОНТРОЛЮ НАД НАРКОТИКАМИ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Vienna International Centre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P.O.Box 500, A-1400 Vienna, Austria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Telephone: (+43 1)26060-4277 Facsivile: (+43 1)26060 5867/5868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Telegraphic address: UNANIONS VIENNA Telex: 135612 uno 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E-mail: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secretariat@incb.org </w:t>
      </w:r>
      <w:r>
        <w:rPr>
          <w:rFonts w:ascii="Times New Roman"/>
          <w:b w:val="false"/>
          <w:i w:val="false"/>
          <w:color w:val="000000"/>
          <w:sz w:val="28"/>
        </w:rPr>
        <w:t xml:space="preserve">Internet address: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http://www.incd.org/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Form B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Page 7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Часть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Дополнительное исчисление потребности в наркотическом средстве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(ДЛЯ ВСЕХ СТРАН И ТЕРРИТОРИЙ)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893"/>
        <w:gridCol w:w="873"/>
        <w:gridCol w:w="1113"/>
        <w:gridCol w:w="1113"/>
        <w:gridCol w:w="1113"/>
        <w:gridCol w:w="1113"/>
        <w:gridCol w:w="1113"/>
        <w:gridCol w:w="1113"/>
        <w:gridCol w:w="1033"/>
        <w:gridCol w:w="1033"/>
        <w:gridCol w:w="1033"/>
        <w:gridCol w:w="1033"/>
      </w:tblGrid>
      <w:tr>
        <w:trPr>
          <w:trHeight w:val="90" w:hRule="atLeast"/>
        </w:trPr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предназначенное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изготовления: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запасов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ниться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(b)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независимо от того,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предназначены ли эти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наркотические средства,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препараты или вещества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внутри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 экспорт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 </w:t>
            </w:r>
          </w:p>
        </w:tc>
      </w:tr>
      <w:tr>
        <w:trPr>
          <w:trHeight w:val="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Метадон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80808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80808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