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0e25" w14:textId="f780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Пленума и нормативные постановления Верховного Суда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2006 года № 12.</w:t>
      </w:r>
    </w:p>
    <w:p>
      <w:pPr>
        <w:spacing w:after="0"/>
        <w:ind w:left="0"/>
        <w:jc w:val="both"/>
      </w:pPr>
      <w:bookmarkStart w:name="z1" w:id="0"/>
      <w:r>
        <w:rPr>
          <w:rFonts w:ascii="Times New Roman"/>
          <w:b w:val="false"/>
          <w:i w:val="false"/>
          <w:color w:val="000000"/>
          <w:sz w:val="28"/>
        </w:rPr>
        <w:t xml:space="preserve">
      В целях приведения разъяснений, содержащихся в постановлениях Пленума и нормативных постановлениях Верховного Суда Республики Казахстан, в соответствие с изменениями и дополнениями, внесенными в уголовное законодательство, регулирующие неоднократность и совокупность преступлений, пленарное заседание Верховного Суда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Верховного Суда Республики Казахстан от 11 апреля 2002 года N 6 "О судебной практике по делам о преступлениях несовершеннолетних и о вовлечении их в преступную и иную антиобщественную деятельность" (с изменениями, внесенными  </w:t>
      </w:r>
      <w:r>
        <w:rPr>
          <w:rFonts w:ascii="Times New Roman"/>
          <w:b w:val="false"/>
          <w:i w:val="false"/>
          <w:color w:val="000000"/>
          <w:sz w:val="28"/>
        </w:rPr>
        <w:t xml:space="preserve">нормативным постановлением </w:t>
      </w:r>
      <w:r>
        <w:rPr>
          <w:rFonts w:ascii="Times New Roman"/>
          <w:b w:val="false"/>
          <w:i w:val="false"/>
          <w:color w:val="000000"/>
          <w:sz w:val="28"/>
        </w:rPr>
        <w:t xml:space="preserve">от 11 июля 2003 года N 4) внести следующее изменение: </w:t>
      </w:r>
    </w:p>
    <w:bookmarkEnd w:id="1"/>
    <w:p>
      <w:pPr>
        <w:spacing w:after="0"/>
        <w:ind w:left="0"/>
        <w:jc w:val="both"/>
      </w:pPr>
      <w:r>
        <w:rPr>
          <w:rFonts w:ascii="Times New Roman"/>
          <w:b w:val="false"/>
          <w:i w:val="false"/>
          <w:color w:val="000000"/>
          <w:sz w:val="28"/>
        </w:rPr>
        <w:t xml:space="preserve">
      Пункт 22 изложить в следующей редакции: </w:t>
      </w:r>
    </w:p>
    <w:p>
      <w:pPr>
        <w:spacing w:after="0"/>
        <w:ind w:left="0"/>
        <w:jc w:val="both"/>
      </w:pPr>
      <w:r>
        <w:rPr>
          <w:rFonts w:ascii="Times New Roman"/>
          <w:b w:val="false"/>
          <w:i w:val="false"/>
          <w:color w:val="000000"/>
          <w:sz w:val="28"/>
        </w:rPr>
        <w:t xml:space="preserve">
      "22. Разъяснить, что в соответствии с частью четвертой  </w:t>
      </w:r>
      <w:r>
        <w:rPr>
          <w:rFonts w:ascii="Times New Roman"/>
          <w:b w:val="false"/>
          <w:i w:val="false"/>
          <w:color w:val="000000"/>
          <w:sz w:val="28"/>
        </w:rPr>
        <w:t xml:space="preserve">статьи 13 </w:t>
      </w:r>
      <w:r>
        <w:rPr>
          <w:rFonts w:ascii="Times New Roman"/>
          <w:b w:val="false"/>
          <w:i w:val="false"/>
          <w:color w:val="000000"/>
          <w:sz w:val="28"/>
        </w:rPr>
        <w:t>УК прежние судимости за преступления, совершенные в несовершеннолетнем возрасте, при признании рецидива преступлений, при квалификации деяния по признаку неоднократности или по признаку совершения преступления лицом, два и более раза судимым, не учитываются.".</w:t>
      </w:r>
    </w:p>
    <w:bookmarkStart w:name="z5" w:id="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Верховного Суда Республики Казахстан от 11 июля 2003 года N 8 "О судебной практике по делам о хищениях" (с изменениями, внесенными  </w:t>
      </w:r>
      <w:r>
        <w:rPr>
          <w:rFonts w:ascii="Times New Roman"/>
          <w:b w:val="false"/>
          <w:i w:val="false"/>
          <w:color w:val="000000"/>
          <w:sz w:val="28"/>
        </w:rPr>
        <w:t xml:space="preserve">нормативным постановлением </w:t>
      </w:r>
      <w:r>
        <w:rPr>
          <w:rFonts w:ascii="Times New Roman"/>
          <w:b w:val="false"/>
          <w:i w:val="false"/>
          <w:color w:val="000000"/>
          <w:sz w:val="28"/>
        </w:rPr>
        <w:t xml:space="preserve">от 19 декабря 2003 года N 14) внести следующие изменения и дополнение: </w:t>
      </w:r>
    </w:p>
    <w:bookmarkEnd w:id="2"/>
    <w:p>
      <w:pPr>
        <w:spacing w:after="0"/>
        <w:ind w:left="0"/>
        <w:jc w:val="both"/>
      </w:pPr>
      <w:r>
        <w:rPr>
          <w:rFonts w:ascii="Times New Roman"/>
          <w:b w:val="false"/>
          <w:i w:val="false"/>
          <w:color w:val="000000"/>
          <w:sz w:val="28"/>
        </w:rPr>
        <w:t xml:space="preserve">
      1) Второе предложение пункта 17 изложить в следующей редакции: </w:t>
      </w:r>
    </w:p>
    <w:p>
      <w:pPr>
        <w:spacing w:after="0"/>
        <w:ind w:left="0"/>
        <w:jc w:val="both"/>
      </w:pPr>
      <w:r>
        <w:rPr>
          <w:rFonts w:ascii="Times New Roman"/>
          <w:b w:val="false"/>
          <w:i w:val="false"/>
          <w:color w:val="000000"/>
          <w:sz w:val="28"/>
        </w:rPr>
        <w:t xml:space="preserve">
      "В соответствии с частью четвертой статьи 13 УК прежние судимости за хищения, совершенные в несовершеннолетнем возрасте, при квалификации деяния по признаку неоднократности или по признаку совершения преступления лицом, два и более раза судимым, не учитываются."; </w:t>
      </w:r>
    </w:p>
    <w:p>
      <w:pPr>
        <w:spacing w:after="0"/>
        <w:ind w:left="0"/>
        <w:jc w:val="both"/>
      </w:pPr>
      <w:r>
        <w:rPr>
          <w:rFonts w:ascii="Times New Roman"/>
          <w:b w:val="false"/>
          <w:i w:val="false"/>
          <w:color w:val="000000"/>
          <w:sz w:val="28"/>
        </w:rPr>
        <w:t xml:space="preserve">
      2) абзац три пункта 19 изложить в следующей редакции: </w:t>
      </w:r>
    </w:p>
    <w:p>
      <w:pPr>
        <w:spacing w:after="0"/>
        <w:ind w:left="0"/>
        <w:jc w:val="both"/>
      </w:pPr>
      <w:r>
        <w:rPr>
          <w:rFonts w:ascii="Times New Roman"/>
          <w:b w:val="false"/>
          <w:i w:val="false"/>
          <w:color w:val="000000"/>
          <w:sz w:val="28"/>
        </w:rPr>
        <w:t xml:space="preserve">
      "При мошенничестве обман может быть как устным, так и письменным. Использование при хищении поддельных документов является одной из форм обмана и эти действия дополнительной квалификации по части третьей статьи  </w:t>
      </w:r>
      <w:r>
        <w:rPr>
          <w:rFonts w:ascii="Times New Roman"/>
          <w:b w:val="false"/>
          <w:i w:val="false"/>
          <w:color w:val="000000"/>
          <w:sz w:val="28"/>
        </w:rPr>
        <w:t xml:space="preserve">325 </w:t>
      </w:r>
      <w:r>
        <w:rPr>
          <w:rFonts w:ascii="Times New Roman"/>
          <w:b w:val="false"/>
          <w:i w:val="false"/>
          <w:color w:val="000000"/>
          <w:sz w:val="28"/>
        </w:rPr>
        <w:t xml:space="preserve">УК не требуют."; </w:t>
      </w:r>
    </w:p>
    <w:p>
      <w:pPr>
        <w:spacing w:after="0"/>
        <w:ind w:left="0"/>
        <w:jc w:val="both"/>
      </w:pPr>
      <w:r>
        <w:rPr>
          <w:rFonts w:ascii="Times New Roman"/>
          <w:b w:val="false"/>
          <w:i w:val="false"/>
          <w:color w:val="000000"/>
          <w:sz w:val="28"/>
        </w:rPr>
        <w:t xml:space="preserve">
      3) пункт 24 изложить в следующей редакции: </w:t>
      </w:r>
    </w:p>
    <w:p>
      <w:pPr>
        <w:spacing w:after="0"/>
        <w:ind w:left="0"/>
        <w:jc w:val="both"/>
      </w:pPr>
      <w:r>
        <w:rPr>
          <w:rFonts w:ascii="Times New Roman"/>
          <w:b w:val="false"/>
          <w:i w:val="false"/>
          <w:color w:val="000000"/>
          <w:sz w:val="28"/>
        </w:rPr>
        <w:t xml:space="preserve">
      "24. Причинение при разбойном нападении тяжкого вреда здоровью либо тяжкого вреда, повлекшего по неосторожности смерть потерпевшего, полностью охватывается соответственно частью второй или частью третьей статьи 179 УК, поэтому дополнительной квалификации деяния по статье  </w:t>
      </w:r>
      <w:r>
        <w:rPr>
          <w:rFonts w:ascii="Times New Roman"/>
          <w:b w:val="false"/>
          <w:i w:val="false"/>
          <w:color w:val="000000"/>
          <w:sz w:val="28"/>
        </w:rPr>
        <w:t xml:space="preserve">103 </w:t>
      </w:r>
      <w:r>
        <w:rPr>
          <w:rFonts w:ascii="Times New Roman"/>
          <w:b w:val="false"/>
          <w:i w:val="false"/>
          <w:color w:val="000000"/>
          <w:sz w:val="28"/>
        </w:rPr>
        <w:t xml:space="preserve">УК не требуется. </w:t>
      </w:r>
    </w:p>
    <w:p>
      <w:pPr>
        <w:spacing w:after="0"/>
        <w:ind w:left="0"/>
        <w:jc w:val="both"/>
      </w:pPr>
      <w:r>
        <w:rPr>
          <w:rFonts w:ascii="Times New Roman"/>
          <w:b w:val="false"/>
          <w:i w:val="false"/>
          <w:color w:val="000000"/>
          <w:sz w:val="28"/>
        </w:rPr>
        <w:t xml:space="preserve">
      Если при применении насилия в ходе разбойного нападения виновный умышленно причинил смерть человеку, то содеянное следует квалифицировать как совокупность преступлений - по соответствующим частям статьи  </w:t>
      </w:r>
      <w:r>
        <w:rPr>
          <w:rFonts w:ascii="Times New Roman"/>
          <w:b w:val="false"/>
          <w:i w:val="false"/>
          <w:color w:val="000000"/>
          <w:sz w:val="28"/>
        </w:rPr>
        <w:t xml:space="preserve">179 </w:t>
      </w:r>
      <w:r>
        <w:rPr>
          <w:rFonts w:ascii="Times New Roman"/>
          <w:b w:val="false"/>
          <w:i w:val="false"/>
          <w:color w:val="000000"/>
          <w:sz w:val="28"/>
        </w:rPr>
        <w:t xml:space="preserve">УК и пункту з) части второй статьи 96 УК. </w:t>
      </w:r>
    </w:p>
    <w:p>
      <w:pPr>
        <w:spacing w:after="0"/>
        <w:ind w:left="0"/>
        <w:jc w:val="both"/>
      </w:pPr>
      <w:r>
        <w:rPr>
          <w:rFonts w:ascii="Times New Roman"/>
          <w:b w:val="false"/>
          <w:i w:val="false"/>
          <w:color w:val="000000"/>
          <w:sz w:val="28"/>
        </w:rPr>
        <w:t xml:space="preserve">
      Умышленное причинение смерти с целью облегчить в последующем совершение кражи чужого имущества, образуют совокупность преступлений, предусмотренных пунктом к) части второй статьи 96 УК и соответствующей части статьи 175 УК."; </w:t>
      </w:r>
    </w:p>
    <w:p>
      <w:pPr>
        <w:spacing w:after="0"/>
        <w:ind w:left="0"/>
        <w:jc w:val="both"/>
      </w:pPr>
      <w:r>
        <w:rPr>
          <w:rFonts w:ascii="Times New Roman"/>
          <w:b w:val="false"/>
          <w:i w:val="false"/>
          <w:color w:val="000000"/>
          <w:sz w:val="28"/>
        </w:rPr>
        <w:t xml:space="preserve">
      4) пункт 25 исключить; </w:t>
      </w:r>
    </w:p>
    <w:p>
      <w:pPr>
        <w:spacing w:after="0"/>
        <w:ind w:left="0"/>
        <w:jc w:val="both"/>
      </w:pPr>
      <w:r>
        <w:rPr>
          <w:rFonts w:ascii="Times New Roman"/>
          <w:b w:val="false"/>
          <w:i w:val="false"/>
          <w:color w:val="000000"/>
          <w:sz w:val="28"/>
        </w:rPr>
        <w:t xml:space="preserve">
      5) пункт 26 дополнить абзацем третьим следующего содержания: </w:t>
      </w:r>
    </w:p>
    <w:p>
      <w:pPr>
        <w:spacing w:after="0"/>
        <w:ind w:left="0"/>
        <w:jc w:val="both"/>
      </w:pPr>
      <w:r>
        <w:rPr>
          <w:rFonts w:ascii="Times New Roman"/>
          <w:b w:val="false"/>
          <w:i w:val="false"/>
          <w:color w:val="000000"/>
          <w:sz w:val="28"/>
        </w:rPr>
        <w:t xml:space="preserve">
      "При совершении виновным хищения предметов, имеющих особую историческую, научную, художественную или культурную ценность, а также наряду с этим хищения иного чужого имущества, содеянное в целом надлежит квалифицировать по совокупности преступлений - соответствующей части статьи  </w:t>
      </w:r>
      <w:r>
        <w:rPr>
          <w:rFonts w:ascii="Times New Roman"/>
          <w:b w:val="false"/>
          <w:i w:val="false"/>
          <w:color w:val="000000"/>
          <w:sz w:val="28"/>
        </w:rPr>
        <w:t xml:space="preserve">180 </w:t>
      </w:r>
      <w:r>
        <w:rPr>
          <w:rFonts w:ascii="Times New Roman"/>
          <w:b w:val="false"/>
          <w:i w:val="false"/>
          <w:color w:val="000000"/>
          <w:sz w:val="28"/>
        </w:rPr>
        <w:t xml:space="preserve">УК и соответствующим статьям ( </w:t>
      </w:r>
      <w:r>
        <w:rPr>
          <w:rFonts w:ascii="Times New Roman"/>
          <w:b w:val="false"/>
          <w:i w:val="false"/>
          <w:color w:val="000000"/>
          <w:sz w:val="28"/>
        </w:rPr>
        <w:t xml:space="preserve">175 </w:t>
      </w: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или  </w:t>
      </w:r>
      <w:r>
        <w:rPr>
          <w:rFonts w:ascii="Times New Roman"/>
          <w:b w:val="false"/>
          <w:i w:val="false"/>
          <w:color w:val="000000"/>
          <w:sz w:val="28"/>
        </w:rPr>
        <w:t xml:space="preserve">179 </w:t>
      </w:r>
      <w:r>
        <w:rPr>
          <w:rFonts w:ascii="Times New Roman"/>
          <w:b w:val="false"/>
          <w:i w:val="false"/>
          <w:color w:val="000000"/>
          <w:sz w:val="28"/>
        </w:rPr>
        <w:t xml:space="preserve">) УК в зависимости от способа хищения.".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нормативным постановлением Верховного суда РК от 10.04.2015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нормативным постановлением Верховного суда РК от 25.06.2015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секретаря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