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2b7bb" w14:textId="f32b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22 декабря 2004 года N 1354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2005 года N 509з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22 декабря 2004 года N 1354 "Об утверждении паспортов республиканских бюджетных программ на 2005 год"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389 </w:t>
      </w:r>
      <w:r>
        <w:rPr>
          <w:rFonts w:ascii="Times New Roman"/>
          <w:b w:val="false"/>
          <w:i w:val="false"/>
          <w:color w:val="000000"/>
          <w:sz w:val="28"/>
        </w:rPr>
        <w:t xml:space="preserve"> 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"Мероприятия по реализации программы (подпрограмм)":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подпрограмме 009 "Материально-техническое оснащение государственных органов":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"1600 куб.см. до 2000 куб.см. - 10" заменить словами "1500 куб. см. до 2000 куб. см. - 35", слово "оружие,"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