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da7f" w14:textId="d2eda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делам религий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2005 года N 1319. Утратило силу постановлением Правительства Республики Казахстан от 29 декабря 2016 года № 904.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29.12.2016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>.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 Республики Казахстан от 18 декабря 1995 года "О Правительстве Республики Казахстан"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Комитет по делам религий Министерства юстиции Республики Казахстан (далее - Комитет).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28.03.2008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</w:t>
      </w:r>
      <w:r>
        <w:rPr>
          <w:rFonts w:ascii="Times New Roman"/>
          <w:b w:val="false"/>
          <w:i w:val="false"/>
          <w:color w:val="ff0000"/>
          <w:sz w:val="28"/>
        </w:rPr>
        <w:t xml:space="preserve">  постановлением Правительства РК от 28.03.2008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октября 2004 года N 1120 "Вопросы Министерства юстиции Республики Казахстан" (САПП Республики Казахстан, 2004 г., N 41, ст. 532):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слова "Комитет по организации правовой помощи и оказанию юридических услуг" заменить словами "Комитет по организации правовой помощи и оказанию юридических услуг населению, Комитет по делам религий";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10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"обеспечения прав граждан на свободу вероисповедания и взаимодействия с религиозными объединениями;";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Комитете регистрационной службы Министерства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первом и втором пункта 1 после слов "юридических лиц," дополнить словами " за исключением религиозных объединений,";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пятом подпункта 1), в абзаце втором подпункта 2) пункта 10 после слов "юридических лиц,", "филиалов и представительств," дополнить соответственно словами ", за исключением религиозных объединений,", "за исключением филиалов и представительств религиозных объединений,";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-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постановлением Правительства РК от 15.04.2008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339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1 января 2006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2005 года N 1319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Комитете по делам религий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 Сноска. Положение исключено   постановлением Правительства РК от 28.03.2008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Утверждена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2005 года N 1319       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Структура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Комитета по делам религий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Министерства юстиции Республики Казахстан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Структура исключена   постановлением Правительства РК от 28.03.2008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