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dc87" w14:textId="54ed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 налоговой базе для исчисления роялти при строительстве и (или) эксплуатации подземных сооружений, не связанных с разведкой и (или) добычей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N 1312 (Дату вступления в силу смотрите пункт 2 настоящего постановления). Утратило силу постановлением Правительства Республики Казахстан от 25 марта 2007 года N 227.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25.03.2007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297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к налоговой базе для исчисления роялти при строительстве и (или) эксплуатации подземных сооружений, не связанных с разведкой и (или) добычей полезных ископаемых.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 для юридических лиц и   по истечении десяти календарных дней после его первого официального опубликования для физических лиц.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61"/>
        <w:gridCol w:w="1439"/>
      </w:tblGrid>
      <w:tr>
        <w:trPr>
          <w:trHeight w:val="30" w:hRule="atLeast"/>
        </w:trPr>
        <w:tc>
          <w:tcPr>
            <w:tcW w:w="10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Премьер-Миниcтр  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2005 года N 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 налоговой базе для исчисления роялти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 строительстве и (или) эксплуатации подземных сооружений, </w:t>
      </w:r>
      <w:r>
        <w:br/>
      </w:r>
      <w:r>
        <w:rPr>
          <w:rFonts w:ascii="Times New Roman"/>
          <w:b/>
          <w:i w:val="false"/>
          <w:color w:val="000000"/>
        </w:rPr>
        <w:t>не связанных с разведкой и (или) добычей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Ставки роялти при строительстве и (или) эксплуатации подземных сооружений для хранения нефти и газа: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4"/>
        <w:gridCol w:w="2996"/>
      </w:tblGrid>
      <w:tr>
        <w:trPr>
          <w:trHeight w:val="30" w:hRule="atLeast"/>
        </w:trPr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обложения,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роялти за      использование недр,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5000-10000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10000-15000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15000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роялти при строительстве и (или) эксплуатации подземных инженерных сооружений для захоронения радиоактивных отходов, вредных веществ: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5"/>
        <w:gridCol w:w="6775"/>
      </w:tblGrid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обложения,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роялти за      использование недр, тенге/тыс.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30-45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45 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роялти при строительстве и (или) эксплуатации подземных инженерных сооружений для захоронения сточных вод: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1"/>
        <w:gridCol w:w="6259"/>
      </w:tblGrid>
      <w:tr>
        <w:trPr>
          <w:trHeight w:val="30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обложения,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роялти за      использование недр, тенге/млн.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50-100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 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